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4C0DD" w14:textId="0EA0CF55" w:rsidR="005230B8" w:rsidRPr="00777087" w:rsidRDefault="005230B8" w:rsidP="00777087">
      <w:pPr>
        <w:pStyle w:val="Nagwek1"/>
        <w:rPr>
          <w:lang w:val="sv-SE"/>
        </w:rPr>
        <w:sectPr w:rsidR="005230B8" w:rsidRPr="00777087" w:rsidSect="00D731F4">
          <w:headerReference w:type="even" r:id="rId12"/>
          <w:headerReference w:type="default" r:id="rId13"/>
          <w:headerReference w:type="first" r:id="rId14"/>
          <w:pgSz w:w="11906" w:h="16838"/>
          <w:pgMar w:top="699" w:right="1417" w:bottom="1417" w:left="1417" w:header="0" w:footer="708" w:gutter="0"/>
          <w:cols w:num="2" w:space="708"/>
          <w:titlePg/>
          <w:docGrid w:linePitch="360"/>
        </w:sectPr>
      </w:pPr>
    </w:p>
    <w:p w14:paraId="0BB417F8" w14:textId="3C47EC49" w:rsidR="00DD389A" w:rsidRPr="00DD389A" w:rsidRDefault="00777087" w:rsidP="00A93D72">
      <w:pPr>
        <w:pStyle w:val="Nagwek1"/>
      </w:pPr>
      <w:r w:rsidRPr="00777087">
        <w:t>D</w:t>
      </w:r>
      <w:r w:rsidR="001265C0">
        <w:t>RAFT</w:t>
      </w:r>
      <w:r w:rsidRPr="00777087">
        <w:t xml:space="preserve"> Joint Recommendation for m</w:t>
      </w:r>
      <w:r>
        <w:t xml:space="preserve">itigation measures to </w:t>
      </w:r>
      <w:r w:rsidR="00296197">
        <w:t xml:space="preserve">reduce </w:t>
      </w:r>
      <w:r>
        <w:t xml:space="preserve">bycatch of </w:t>
      </w:r>
      <w:r w:rsidR="00296197">
        <w:t xml:space="preserve">the Baltic proper </w:t>
      </w:r>
      <w:r>
        <w:t>harbour porpoise</w:t>
      </w:r>
    </w:p>
    <w:p w14:paraId="162B01D8" w14:textId="409A7D89" w:rsidR="00694990" w:rsidRPr="00694990" w:rsidRDefault="00777087" w:rsidP="00694990">
      <w:pPr>
        <w:pStyle w:val="Nagwek2"/>
        <w:numPr>
          <w:ilvl w:val="0"/>
          <w:numId w:val="20"/>
        </w:numPr>
      </w:pPr>
      <w:r>
        <w:t>Background</w:t>
      </w:r>
    </w:p>
    <w:p w14:paraId="447BA83F" w14:textId="47F72346" w:rsidR="008928E5" w:rsidRDefault="008928E5" w:rsidP="004C7CCF">
      <w:pPr>
        <w:ind w:left="360"/>
        <w:jc w:val="both"/>
      </w:pPr>
      <w:r>
        <w:t>Article 3</w:t>
      </w:r>
      <w:r w:rsidR="00AD5721">
        <w:t>(</w:t>
      </w:r>
      <w:r>
        <w:t>1</w:t>
      </w:r>
      <w:r w:rsidR="00AD5721">
        <w:t>)</w:t>
      </w:r>
      <w:r>
        <w:t xml:space="preserve"> of </w:t>
      </w:r>
      <w:r w:rsidR="00866A38">
        <w:t xml:space="preserve">the </w:t>
      </w:r>
      <w:r w:rsidR="00296197">
        <w:t>T</w:t>
      </w:r>
      <w:r w:rsidR="00866A38">
        <w:t xml:space="preserve">echnical </w:t>
      </w:r>
      <w:r w:rsidR="00296197">
        <w:t>M</w:t>
      </w:r>
      <w:r w:rsidR="00866A38">
        <w:t>easures R</w:t>
      </w:r>
      <w:r>
        <w:t>egulation</w:t>
      </w:r>
      <w:r w:rsidR="00736674">
        <w:t xml:space="preserve"> </w:t>
      </w:r>
      <w:r w:rsidR="00736674" w:rsidRPr="00866A38">
        <w:t xml:space="preserve">(EU) </w:t>
      </w:r>
      <w:r w:rsidRPr="00866A38">
        <w:t>2019/1241</w:t>
      </w:r>
      <w:r w:rsidR="00BC658F">
        <w:t xml:space="preserve"> (TMR)</w:t>
      </w:r>
      <w:r w:rsidRPr="00866A38">
        <w:t xml:space="preserve"> states</w:t>
      </w:r>
      <w:r>
        <w:t xml:space="preserve"> that technical measures shall contribute to the objectives of the Common Fisheries Policy set out in the applicable provisions of Article 2 of Regulation (EU) 1380/2013 of 11 December 2013 on the Common Fisheries Policy (CFP) which define as an objective that it shall implement the ecosystem-based approach to fisheries management so as to ensure that negative impacts of fishing activities on the marine ecosystem are minimised, and shall endeavour to ensure that aquaculture and fisheries activities avoid the degradation of the marine environment. Article 3</w:t>
      </w:r>
      <w:r w:rsidR="00AD5721">
        <w:t>(</w:t>
      </w:r>
      <w:r>
        <w:t>2</w:t>
      </w:r>
      <w:r w:rsidR="00AD5721">
        <w:t>)</w:t>
      </w:r>
      <w:r w:rsidR="00846F90">
        <w:t>(</w:t>
      </w:r>
      <w:r>
        <w:t xml:space="preserve">b) of </w:t>
      </w:r>
      <w:r w:rsidR="00DE3757">
        <w:t xml:space="preserve">TMR </w:t>
      </w:r>
      <w:r w:rsidRPr="00866A38">
        <w:t>further</w:t>
      </w:r>
      <w:r>
        <w:t xml:space="preserve"> defines as an objective the need to</w:t>
      </w:r>
      <w:r w:rsidR="00736674">
        <w:t xml:space="preserve"> </w:t>
      </w:r>
      <w:r>
        <w:t xml:space="preserve">contribute to ensure that incidental catches of sensitive marine species, including those listed under Directive 92/43/EEC are minimised and where possible eliminated so that they do not represent a threat to the conservation status of these species. </w:t>
      </w:r>
      <w:proofErr w:type="gramStart"/>
      <w:r>
        <w:t>For the purpose of</w:t>
      </w:r>
      <w:proofErr w:type="gramEnd"/>
      <w:r>
        <w:t xml:space="preserve"> achieving this objective, Member States may cooperate with one another to adopt conservation measures.</w:t>
      </w:r>
    </w:p>
    <w:p w14:paraId="77146FB1" w14:textId="1FE3FB05" w:rsidR="008928E5" w:rsidRDefault="008928E5" w:rsidP="00772111">
      <w:pPr>
        <w:ind w:left="360"/>
        <w:jc w:val="both"/>
      </w:pPr>
      <w:r>
        <w:t>The Baltic Proper harbour porpoise (</w:t>
      </w:r>
      <w:r w:rsidRPr="00603BA9">
        <w:rPr>
          <w:i/>
          <w:iCs/>
        </w:rPr>
        <w:t xml:space="preserve">Phocoena </w:t>
      </w:r>
      <w:proofErr w:type="spellStart"/>
      <w:r w:rsidRPr="00603BA9">
        <w:rPr>
          <w:i/>
          <w:iCs/>
        </w:rPr>
        <w:t>phocoena</w:t>
      </w:r>
      <w:proofErr w:type="spellEnd"/>
      <w:r>
        <w:t>) is listed in Annex II of the Directive 92/43/EEC as animal of Community interest whose conservation requires</w:t>
      </w:r>
      <w:r w:rsidR="00603BA9">
        <w:t xml:space="preserve"> </w:t>
      </w:r>
      <w:r>
        <w:t xml:space="preserve">the designation of special areas of conservation. It is also listed as a sensitive species according to Article 6(8) in the </w:t>
      </w:r>
      <w:r w:rsidR="00296197">
        <w:t>TMR</w:t>
      </w:r>
      <w:r>
        <w:t xml:space="preserve"> (“sensitive species</w:t>
      </w:r>
      <w:r w:rsidR="00B70432">
        <w:t>”</w:t>
      </w:r>
      <w:r>
        <w:t xml:space="preserve"> is a specie whose conservation status, including its habitat, distribution, population size or population condition is adversely affected by pressures arising from human activities, including fishing activities. Sensitive species</w:t>
      </w:r>
      <w:proofErr w:type="gramStart"/>
      <w:r>
        <w:t>, in particular, include</w:t>
      </w:r>
      <w:proofErr w:type="gramEnd"/>
      <w:r>
        <w:t xml:space="preserve"> species listed in Annexes II and IV to Directive 92/43/EEC, species covered by Directive 2009/147/EC and species whose protection is necessary to achieve good environmental status under Directive 2008/56/EC). Furthermore, the population of the Baltic Proper harbour porpoise has been assessed as “Critically Endangered” by the International Union for Conservation of Nature (IUCN) and the Baltic Marine Environment Protection Commission (HELCOM). All Member States’ assessments and the EU biogeographical assessment of conservation status of the Baltic </w:t>
      </w:r>
      <w:r w:rsidR="00296197">
        <w:t>P</w:t>
      </w:r>
      <w:r>
        <w:t>roper harbour porpoise in the Baltic Marine biogeographical Region have been assessed as ‘unfavourable-bad’ for the last three consecutive assessments under Article 17 of Directive 92/43/EEC.</w:t>
      </w:r>
    </w:p>
    <w:p w14:paraId="1422153B" w14:textId="11F4E309" w:rsidR="008928E5" w:rsidRDefault="008928E5" w:rsidP="006D4254">
      <w:pPr>
        <w:ind w:left="360"/>
        <w:jc w:val="both"/>
      </w:pPr>
      <w:r>
        <w:t xml:space="preserve">The Baltic Proper harbour porpoise is seriously threatened </w:t>
      </w:r>
      <w:r w:rsidR="00386525">
        <w:t>through</w:t>
      </w:r>
      <w:r>
        <w:t xml:space="preserve"> the risk of a serious harm to the reproductive capacity of this population caused by </w:t>
      </w:r>
      <w:r w:rsidR="00386525">
        <w:t>a</w:t>
      </w:r>
      <w:r>
        <w:t xml:space="preserve"> population</w:t>
      </w:r>
      <w:r w:rsidR="00386525">
        <w:t xml:space="preserve"> decline estimated below 500</w:t>
      </w:r>
      <w:r>
        <w:t xml:space="preserve"> animals in 2020. Article 21(b) </w:t>
      </w:r>
      <w:r w:rsidR="007F7092">
        <w:t xml:space="preserve">of the </w:t>
      </w:r>
      <w:r w:rsidR="00422FD4">
        <w:t xml:space="preserve">TMR </w:t>
      </w:r>
      <w:r>
        <w:t xml:space="preserve">specifies that a </w:t>
      </w:r>
      <w:r w:rsidR="00D91FC0">
        <w:t>J</w:t>
      </w:r>
      <w:r>
        <w:t xml:space="preserve">oint </w:t>
      </w:r>
      <w:r w:rsidR="00D91FC0">
        <w:t>R</w:t>
      </w:r>
      <w:r>
        <w:t>ecommendation</w:t>
      </w:r>
      <w:r w:rsidR="00D91FC0">
        <w:t xml:space="preserve"> (JR)</w:t>
      </w:r>
      <w:r>
        <w:t xml:space="preserve"> submitted for the purpose of adopting the measures referred to in Article 15(2), in relation to the protection of sensitive species, may in particular specify the use of additional or alternative measures to those referred to in Annex XIII to minimize the </w:t>
      </w:r>
      <w:r>
        <w:lastRenderedPageBreak/>
        <w:t xml:space="preserve">incidental catches of the species referred to in Article 11 (marine mammals, seabirds and marine reptiles). </w:t>
      </w:r>
    </w:p>
    <w:p w14:paraId="4C59787B" w14:textId="67C4DAC4" w:rsidR="00523FF6" w:rsidRPr="00A93D72" w:rsidRDefault="00523FF6" w:rsidP="00E61BC6">
      <w:pPr>
        <w:ind w:left="360"/>
        <w:jc w:val="both"/>
        <w:rPr>
          <w:lang w:val="en-US"/>
        </w:rPr>
      </w:pPr>
      <w:r>
        <w:t>In January 2024 Sweden issued</w:t>
      </w:r>
      <w:r w:rsidRPr="00523FF6">
        <w:t xml:space="preserve"> a data </w:t>
      </w:r>
      <w:r w:rsidR="000E0709">
        <w:t>call</w:t>
      </w:r>
      <w:r w:rsidR="000E0709" w:rsidRPr="00523FF6">
        <w:t xml:space="preserve"> </w:t>
      </w:r>
      <w:r w:rsidRPr="00523FF6">
        <w:t xml:space="preserve">within </w:t>
      </w:r>
      <w:r w:rsidR="000E0709">
        <w:t>BALTFISH</w:t>
      </w:r>
      <w:r w:rsidRPr="00523FF6">
        <w:t xml:space="preserve"> to all Baltic </w:t>
      </w:r>
      <w:r w:rsidR="00386525">
        <w:t>M</w:t>
      </w:r>
      <w:r w:rsidRPr="00523FF6">
        <w:t xml:space="preserve">ember </w:t>
      </w:r>
      <w:r w:rsidR="00386525">
        <w:t>S</w:t>
      </w:r>
      <w:r w:rsidRPr="00523FF6">
        <w:t>tates, asking for the gillnet fisheries effort expressed as days at sea during 2022</w:t>
      </w:r>
      <w:r>
        <w:t xml:space="preserve"> for the area containing all ICES squares</w:t>
      </w:r>
      <w:r w:rsidRPr="00523FF6">
        <w:t xml:space="preserve"> </w:t>
      </w:r>
      <w:r>
        <w:t xml:space="preserve">delimiting the Swedish </w:t>
      </w:r>
      <w:r w:rsidR="00A456C8">
        <w:t>E</w:t>
      </w:r>
      <w:r>
        <w:t xml:space="preserve">xclusive </w:t>
      </w:r>
      <w:r w:rsidR="00A456C8">
        <w:t>E</w:t>
      </w:r>
      <w:r>
        <w:t xml:space="preserve">conomic </w:t>
      </w:r>
      <w:r w:rsidR="00A456C8">
        <w:t>Z</w:t>
      </w:r>
      <w:r>
        <w:t xml:space="preserve">one (EEZ), see </w:t>
      </w:r>
      <w:r w:rsidR="006A451E">
        <w:t>figure</w:t>
      </w:r>
      <w:r>
        <w:t xml:space="preserve"> 1. </w:t>
      </w:r>
      <w:r w:rsidRPr="00523FF6">
        <w:t xml:space="preserve">The reported fishing effort </w:t>
      </w:r>
      <w:r>
        <w:t>was</w:t>
      </w:r>
      <w:r w:rsidRPr="00523FF6">
        <w:t xml:space="preserve"> </w:t>
      </w:r>
      <w:r>
        <w:t xml:space="preserve">combined with Swedish effort data </w:t>
      </w:r>
      <w:proofErr w:type="gramStart"/>
      <w:r w:rsidRPr="00523FF6">
        <w:t xml:space="preserve">in </w:t>
      </w:r>
      <w:r>
        <w:t>order to</w:t>
      </w:r>
      <w:proofErr w:type="gramEnd"/>
      <w:r>
        <w:t xml:space="preserve"> estimate </w:t>
      </w:r>
      <w:r w:rsidRPr="00523FF6">
        <w:t xml:space="preserve">the total gillnet fishing effort expressed as Days at Sea for 2022. Gillnet fishing </w:t>
      </w:r>
      <w:r>
        <w:t>was</w:t>
      </w:r>
      <w:r w:rsidRPr="00523FF6">
        <w:t xml:space="preserve"> limited in the red sub-area, </w:t>
      </w:r>
      <w:proofErr w:type="gramStart"/>
      <w:r w:rsidRPr="00523FF6">
        <w:t>and also</w:t>
      </w:r>
      <w:proofErr w:type="gramEnd"/>
      <w:r w:rsidRPr="00523FF6">
        <w:t xml:space="preserve"> relatively limited during winter months in the green and orange sub-areas</w:t>
      </w:r>
      <w:r w:rsidR="00A93D72">
        <w:t>. The fishing effort in the yellow area were considered of special significance since gillnet fishing in this area alone corresponded to about 58 percent of the total gillnet fishing effort in all areas during 2022 (see figure 1).</w:t>
      </w:r>
      <w:r w:rsidRPr="00523FF6">
        <w:t xml:space="preserve"> </w:t>
      </w:r>
      <w:r w:rsidR="00A93D72">
        <w:t xml:space="preserve">The </w:t>
      </w:r>
      <w:r w:rsidR="00686880" w:rsidRPr="00686880">
        <w:t xml:space="preserve">bycatch rate of </w:t>
      </w:r>
      <w:r w:rsidR="00A93D72">
        <w:t>h</w:t>
      </w:r>
      <w:r w:rsidR="00686880" w:rsidRPr="00686880">
        <w:t xml:space="preserve">arbour </w:t>
      </w:r>
      <w:r w:rsidR="00A93D72">
        <w:t>p</w:t>
      </w:r>
      <w:r w:rsidR="00686880" w:rsidRPr="00686880">
        <w:t>orpoise in the Baltic Sea</w:t>
      </w:r>
      <w:r w:rsidR="00A93D72">
        <w:t xml:space="preserve"> was estimated at a workshop</w:t>
      </w:r>
      <w:r w:rsidR="00A93D72" w:rsidRPr="00F4769C">
        <w:rPr>
          <w:lang w:val="en-US"/>
        </w:rPr>
        <w:t xml:space="preserve"> on the </w:t>
      </w:r>
      <w:r w:rsidR="00A93D72">
        <w:rPr>
          <w:lang w:val="en-US"/>
        </w:rPr>
        <w:t>s</w:t>
      </w:r>
      <w:r w:rsidR="00A93D72" w:rsidRPr="00F4769C">
        <w:rPr>
          <w:lang w:val="en-US"/>
        </w:rPr>
        <w:t xml:space="preserve">tatus of </w:t>
      </w:r>
      <w:r w:rsidR="00A93D72">
        <w:rPr>
          <w:lang w:val="en-US"/>
        </w:rPr>
        <w:t>h</w:t>
      </w:r>
      <w:r w:rsidR="00A93D72" w:rsidRPr="00F4769C">
        <w:rPr>
          <w:lang w:val="en-US"/>
        </w:rPr>
        <w:t xml:space="preserve">arbour </w:t>
      </w:r>
      <w:r w:rsidR="00A93D72">
        <w:rPr>
          <w:lang w:val="en-US"/>
        </w:rPr>
        <w:t>p</w:t>
      </w:r>
      <w:r w:rsidR="00A93D72" w:rsidRPr="00F4769C">
        <w:rPr>
          <w:lang w:val="en-US"/>
        </w:rPr>
        <w:t xml:space="preserve">orpoises </w:t>
      </w:r>
      <w:r w:rsidR="00A93D72">
        <w:rPr>
          <w:lang w:val="en-US"/>
        </w:rPr>
        <w:t xml:space="preserve">given by the </w:t>
      </w:r>
      <w:r w:rsidR="00A93D72" w:rsidRPr="00F4769C">
        <w:rPr>
          <w:lang w:val="en-US"/>
        </w:rPr>
        <w:t>North Atlantic Marine Mammal Commission and the Norwegian Institute of Marine Research</w:t>
      </w:r>
      <w:r w:rsidR="00A93D72">
        <w:rPr>
          <w:lang w:val="en-US"/>
        </w:rPr>
        <w:t xml:space="preserve"> (NAMMCO, 2019). </w:t>
      </w:r>
      <w:r w:rsidR="00686880" w:rsidRPr="00686880">
        <w:t xml:space="preserve">The bycatch rate was calculated by adjusting bycatch rates of porpoises from the Belt Sea population (ICES area 21, 22 and 23) and the density of the Belt Sea population to the Baltic Sea and the density of the Baltic Sea </w:t>
      </w:r>
      <w:r w:rsidR="00A93D72">
        <w:t>h</w:t>
      </w:r>
      <w:r w:rsidR="00686880" w:rsidRPr="00686880">
        <w:t xml:space="preserve">arbour </w:t>
      </w:r>
      <w:r w:rsidR="00A93D72">
        <w:t>p</w:t>
      </w:r>
      <w:r w:rsidR="00686880" w:rsidRPr="00686880">
        <w:t>orpoise</w:t>
      </w:r>
      <w:r w:rsidR="00A93D72">
        <w:t>.</w:t>
      </w:r>
      <w:r w:rsidR="00F4769C">
        <w:t xml:space="preserve"> </w:t>
      </w:r>
      <w:r w:rsidR="00686880" w:rsidRPr="007B1A48">
        <w:t xml:space="preserve">If the bycatch rate </w:t>
      </w:r>
      <w:r w:rsidR="00A456C8">
        <w:t xml:space="preserve">was </w:t>
      </w:r>
      <w:r w:rsidR="00686880" w:rsidRPr="007B1A48">
        <w:t xml:space="preserve">related to the density of the </w:t>
      </w:r>
      <w:r w:rsidR="00A93D72">
        <w:t>h</w:t>
      </w:r>
      <w:r w:rsidR="00686880" w:rsidRPr="007B1A48">
        <w:t xml:space="preserve">arbour </w:t>
      </w:r>
      <w:r w:rsidR="00A93D72">
        <w:t>p</w:t>
      </w:r>
      <w:r w:rsidR="00686880" w:rsidRPr="007B1A48">
        <w:t>orpoise throughout the Central Baltic Sea, this resulted in</w:t>
      </w:r>
      <w:r w:rsidR="00686880">
        <w:t xml:space="preserve"> </w:t>
      </w:r>
      <w:r w:rsidRPr="00523FF6">
        <w:t xml:space="preserve">estimates of bycatch estimates </w:t>
      </w:r>
      <w:r w:rsidR="00686880">
        <w:t xml:space="preserve">for 2022 </w:t>
      </w:r>
      <w:r w:rsidRPr="00523FF6">
        <w:t>ranging between 0.55 – 0.66 individuals</w:t>
      </w:r>
      <w:r w:rsidR="00B70432">
        <w:t xml:space="preserve"> </w:t>
      </w:r>
      <w:r w:rsidR="00CE4D69">
        <w:t>yea</w:t>
      </w:r>
      <w:r w:rsidR="00B70432">
        <w:t>rly</w:t>
      </w:r>
      <w:r w:rsidRPr="00523FF6">
        <w:t xml:space="preserve"> for all mesh-sizes</w:t>
      </w:r>
      <w:r w:rsidR="00A93D72">
        <w:t xml:space="preserve">. </w:t>
      </w:r>
    </w:p>
    <w:p w14:paraId="2C914693" w14:textId="677A52AC" w:rsidR="00686880" w:rsidRDefault="00CF09C3" w:rsidP="00686880">
      <w:pPr>
        <w:ind w:left="360"/>
      </w:pPr>
      <w:r>
        <w:rPr>
          <w:noProof/>
          <w:lang w:val="pl-PL" w:eastAsia="pl-PL"/>
        </w:rPr>
        <w:drawing>
          <wp:inline distT="0" distB="0" distL="0" distR="0" wp14:anchorId="5AC27975" wp14:editId="75444A90">
            <wp:extent cx="2993600" cy="3797300"/>
            <wp:effectExtent l="0" t="0" r="0" b="0"/>
            <wp:docPr id="1" name="Bildobjekt 2">
              <a:extLst xmlns:a="http://schemas.openxmlformats.org/drawingml/2006/main">
                <a:ext uri="{FF2B5EF4-FFF2-40B4-BE49-F238E27FC236}">
                  <a16:creationId xmlns:a16="http://schemas.microsoft.com/office/drawing/2014/main" id="{60FB5E57-2449-4EB9-9389-6CD64930C9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2">
                      <a:extLst>
                        <a:ext uri="{FF2B5EF4-FFF2-40B4-BE49-F238E27FC236}">
                          <a16:creationId xmlns:a16="http://schemas.microsoft.com/office/drawing/2014/main" id="{60FB5E57-2449-4EB9-9389-6CD64930C9A8}"/>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019425" cy="3830058"/>
                    </a:xfrm>
                    <a:prstGeom prst="rect">
                      <a:avLst/>
                    </a:prstGeom>
                  </pic:spPr>
                </pic:pic>
              </a:graphicData>
            </a:graphic>
          </wp:inline>
        </w:drawing>
      </w:r>
    </w:p>
    <w:p w14:paraId="1D1C6CBE" w14:textId="5C6AB93D" w:rsidR="00686880" w:rsidRPr="004C7A0C" w:rsidRDefault="00686880" w:rsidP="00686880">
      <w:pPr>
        <w:ind w:left="360"/>
        <w:rPr>
          <w:sz w:val="20"/>
          <w:szCs w:val="20"/>
        </w:rPr>
      </w:pPr>
      <w:r w:rsidRPr="004C7A0C">
        <w:rPr>
          <w:b/>
          <w:bCs/>
          <w:sz w:val="20"/>
          <w:szCs w:val="20"/>
        </w:rPr>
        <w:t>Figure 1.</w:t>
      </w:r>
      <w:r w:rsidRPr="004C7A0C">
        <w:rPr>
          <w:sz w:val="20"/>
          <w:szCs w:val="20"/>
        </w:rPr>
        <w:t xml:space="preserve"> The distribution area of the Baltic Proper </w:t>
      </w:r>
      <w:r w:rsidR="00A456C8">
        <w:rPr>
          <w:sz w:val="20"/>
          <w:szCs w:val="20"/>
        </w:rPr>
        <w:t>h</w:t>
      </w:r>
      <w:r w:rsidRPr="004C7A0C">
        <w:rPr>
          <w:sz w:val="20"/>
          <w:szCs w:val="20"/>
        </w:rPr>
        <w:t xml:space="preserve">arbour porpoise </w:t>
      </w:r>
      <w:r w:rsidR="00E1174C">
        <w:rPr>
          <w:sz w:val="20"/>
          <w:szCs w:val="20"/>
        </w:rPr>
        <w:t xml:space="preserve">partitioned according to increasing bycatch risk from </w:t>
      </w:r>
      <w:r w:rsidRPr="004C7A0C">
        <w:rPr>
          <w:sz w:val="20"/>
          <w:szCs w:val="20"/>
        </w:rPr>
        <w:t xml:space="preserve">green, yellow, orange, </w:t>
      </w:r>
      <w:r w:rsidR="00E1174C">
        <w:rPr>
          <w:sz w:val="20"/>
          <w:szCs w:val="20"/>
        </w:rPr>
        <w:t xml:space="preserve">to </w:t>
      </w:r>
      <w:r w:rsidRPr="004C7A0C">
        <w:rPr>
          <w:sz w:val="20"/>
          <w:szCs w:val="20"/>
        </w:rPr>
        <w:t>red</w:t>
      </w:r>
      <w:r w:rsidR="00E1174C">
        <w:rPr>
          <w:sz w:val="20"/>
          <w:szCs w:val="20"/>
        </w:rPr>
        <w:t>. Numbered Ices squares relates to the</w:t>
      </w:r>
      <w:r w:rsidRPr="004C7A0C">
        <w:rPr>
          <w:sz w:val="20"/>
          <w:szCs w:val="20"/>
        </w:rPr>
        <w:t xml:space="preserve"> </w:t>
      </w:r>
      <w:r w:rsidR="00E1174C">
        <w:rPr>
          <w:sz w:val="20"/>
          <w:szCs w:val="20"/>
        </w:rPr>
        <w:t xml:space="preserve">bycatch estimations for the </w:t>
      </w:r>
      <w:r w:rsidR="007B1A48" w:rsidRPr="004C7A0C">
        <w:rPr>
          <w:sz w:val="20"/>
          <w:szCs w:val="20"/>
        </w:rPr>
        <w:t>Swedish EEZ.</w:t>
      </w:r>
    </w:p>
    <w:p w14:paraId="1B934441" w14:textId="6DE6B77D" w:rsidR="008812B3" w:rsidRDefault="008812B3" w:rsidP="000D08F5">
      <w:pPr>
        <w:ind w:left="360"/>
        <w:jc w:val="both"/>
      </w:pPr>
      <w:r>
        <w:t xml:space="preserve">In April 2024 DTU Aqua presented a </w:t>
      </w:r>
      <w:r w:rsidR="006572CE">
        <w:t xml:space="preserve">note to BALTFISH </w:t>
      </w:r>
      <w:r>
        <w:t>summarizing mitigation methods to reduce bycatch of harbour porpoise</w:t>
      </w:r>
      <w:r w:rsidR="006572CE">
        <w:t xml:space="preserve"> (DTU A, 2024)</w:t>
      </w:r>
      <w:r>
        <w:t xml:space="preserve">. </w:t>
      </w:r>
      <w:r w:rsidR="007D2C5F">
        <w:t xml:space="preserve">Bycatch can be prevented either by reducing the fishing effort or </w:t>
      </w:r>
      <w:r w:rsidR="0003470B">
        <w:t xml:space="preserve">by decreasing </w:t>
      </w:r>
      <w:r w:rsidR="007D2C5F">
        <w:t>the bycatch per fishing unit effort</w:t>
      </w:r>
      <w:r w:rsidR="00CB0832">
        <w:t xml:space="preserve"> (BPUE)</w:t>
      </w:r>
      <w:r w:rsidR="007D2C5F">
        <w:t>, and t</w:t>
      </w:r>
      <w:r>
        <w:t xml:space="preserve">he </w:t>
      </w:r>
      <w:r w:rsidR="007D2C5F">
        <w:t>presented mitigation</w:t>
      </w:r>
      <w:r>
        <w:t xml:space="preserve"> measures were </w:t>
      </w:r>
      <w:r w:rsidR="007D2C5F">
        <w:t>divided into categories of</w:t>
      </w:r>
      <w:r>
        <w:t xml:space="preserve"> acoustic deterrent</w:t>
      </w:r>
      <w:r w:rsidR="007D2C5F">
        <w:t xml:space="preserve"> </w:t>
      </w:r>
      <w:r w:rsidR="007D2C5F">
        <w:lastRenderedPageBreak/>
        <w:t>devices</w:t>
      </w:r>
      <w:r>
        <w:t xml:space="preserve">, spatial-temporal closures, </w:t>
      </w:r>
      <w:r w:rsidR="007D2C5F">
        <w:t xml:space="preserve">alternative fishing gear, and new mitigation techniques. </w:t>
      </w:r>
      <w:r>
        <w:t xml:space="preserve">All </w:t>
      </w:r>
      <w:r w:rsidR="007D2C5F">
        <w:t>presented mitigation</w:t>
      </w:r>
      <w:r>
        <w:t xml:space="preserve"> measures were </w:t>
      </w:r>
      <w:r w:rsidR="007D2C5F">
        <w:t xml:space="preserve">also </w:t>
      </w:r>
      <w:r>
        <w:t>described</w:t>
      </w:r>
      <w:r w:rsidR="007D2C5F">
        <w:t xml:space="preserve"> according to </w:t>
      </w:r>
      <w:r>
        <w:t>advantages and challenges</w:t>
      </w:r>
      <w:r w:rsidR="007D2C5F">
        <w:t xml:space="preserve"> of each method respectively. The toolbox concluded with general discussion of lessons learn</w:t>
      </w:r>
      <w:r w:rsidR="00364E23">
        <w:t>ed</w:t>
      </w:r>
      <w:r w:rsidR="007D2C5F">
        <w:t xml:space="preserve"> from previous bycatch mitigation implementation schemes.</w:t>
      </w:r>
    </w:p>
    <w:p w14:paraId="6BDDD1AE" w14:textId="6D848328" w:rsidR="008928E5" w:rsidRPr="009B66E1" w:rsidRDefault="008928E5" w:rsidP="000D08F5">
      <w:pPr>
        <w:ind w:left="360"/>
        <w:jc w:val="both"/>
        <w:rPr>
          <w:lang w:val="en-US"/>
        </w:rPr>
      </w:pPr>
      <w:bookmarkStart w:id="0" w:name="_Hlk167283113"/>
      <w:r>
        <w:t>ICES advi</w:t>
      </w:r>
      <w:r w:rsidR="007F7092">
        <w:t>c</w:t>
      </w:r>
      <w:r>
        <w:t xml:space="preserve">e </w:t>
      </w:r>
      <w:r w:rsidR="00736674">
        <w:t>of May 2020</w:t>
      </w:r>
      <w:r w:rsidR="00AD5721">
        <w:t xml:space="preserve"> (ICES</w:t>
      </w:r>
      <w:r w:rsidR="00BE795B">
        <w:t xml:space="preserve">, </w:t>
      </w:r>
      <w:r w:rsidR="00AD5721">
        <w:t>2020</w:t>
      </w:r>
      <w:r w:rsidR="00BE795B">
        <w:t>a</w:t>
      </w:r>
      <w:r w:rsidR="00AD5721">
        <w:t>)</w:t>
      </w:r>
      <w:r w:rsidR="00736674">
        <w:t xml:space="preserve"> advises </w:t>
      </w:r>
      <w:r>
        <w:t>a combination of spatial-temporal closures and application of ADDs/pingers in static nets (</w:t>
      </w:r>
      <w:proofErr w:type="spellStart"/>
      <w:r>
        <w:t>trammelnet</w:t>
      </w:r>
      <w:proofErr w:type="spellEnd"/>
      <w:r>
        <w:t xml:space="preserve">, gillnet, and semi-driftnet) fisheries for the protection of Baltic Proper harbour porpoise. ICES further advises that protection measures can only be effective when applied for a longer </w:t>
      </w:r>
      <w:proofErr w:type="gramStart"/>
      <w:r>
        <w:t>period of time</w:t>
      </w:r>
      <w:proofErr w:type="gramEnd"/>
      <w:r w:rsidR="00736674">
        <w:t xml:space="preserve">. </w:t>
      </w:r>
      <w:r w:rsidR="00736674" w:rsidRPr="00736674">
        <w:t>According to ICES</w:t>
      </w:r>
      <w:r w:rsidR="00CB0832">
        <w:t>,</w:t>
      </w:r>
      <w:r w:rsidR="00736674" w:rsidRPr="00736674">
        <w:t xml:space="preserve"> the threat levels for the Baltic Proper harbour porpoise were considered high for bycatch, contaminants, and three impulsive underwater noise sources. </w:t>
      </w:r>
      <w:bookmarkEnd w:id="0"/>
    </w:p>
    <w:p w14:paraId="08A67F66" w14:textId="655EFA08" w:rsidR="00EC5964" w:rsidRDefault="00A73F68" w:rsidP="00AF063D">
      <w:pPr>
        <w:ind w:left="360"/>
        <w:jc w:val="both"/>
      </w:pPr>
      <w:r>
        <w:t>Three</w:t>
      </w:r>
      <w:r w:rsidR="00150707" w:rsidRPr="00150707">
        <w:t xml:space="preserve"> ICES publications were released during 2024</w:t>
      </w:r>
      <w:r w:rsidR="001C6055">
        <w:t>,</w:t>
      </w:r>
      <w:r w:rsidR="00150707" w:rsidRPr="00150707">
        <w:t xml:space="preserve"> </w:t>
      </w:r>
      <w:r w:rsidR="001C6055">
        <w:t xml:space="preserve">first </w:t>
      </w:r>
      <w:r w:rsidR="00150707" w:rsidRPr="00150707">
        <w:t>focussing on effectiveness of dynamic closures and provid</w:t>
      </w:r>
      <w:r>
        <w:t>ing</w:t>
      </w:r>
      <w:r w:rsidR="00150707" w:rsidRPr="00150707">
        <w:t xml:space="preserve"> an overview of alternative measures to pingers (ICES, 2024a), </w:t>
      </w:r>
      <w:r w:rsidR="001C6055">
        <w:t xml:space="preserve">second </w:t>
      </w:r>
      <w:r w:rsidR="00150707" w:rsidRPr="00150707">
        <w:t xml:space="preserve">describing bycatches of endangered, threatened and protected species </w:t>
      </w:r>
      <w:r w:rsidR="00CB0832">
        <w:t xml:space="preserve">(ETP) </w:t>
      </w:r>
      <w:r w:rsidR="00150707" w:rsidRPr="00150707">
        <w:t xml:space="preserve">of marine mammals, seabirds and turtles (ICES, 2024b), and </w:t>
      </w:r>
      <w:r>
        <w:t>t</w:t>
      </w:r>
      <w:r w:rsidR="001C6055">
        <w:t xml:space="preserve">he most relevant advice </w:t>
      </w:r>
      <w:r w:rsidR="00150707" w:rsidRPr="00150707">
        <w:t>assessing relative bycatch risk of harbour porpoise in the Baltic Sea based on an analysis of overlap between habitat suitability and fishing effort</w:t>
      </w:r>
      <w:r w:rsidR="008F714A">
        <w:t xml:space="preserve">, </w:t>
      </w:r>
      <w:r>
        <w:t>which was replaced</w:t>
      </w:r>
      <w:r w:rsidR="008F714A">
        <w:t xml:space="preserve"> </w:t>
      </w:r>
      <w:r>
        <w:t xml:space="preserve">by </w:t>
      </w:r>
      <w:r w:rsidR="008F714A">
        <w:t>the advice provided</w:t>
      </w:r>
      <w:r>
        <w:t xml:space="preserve"> i</w:t>
      </w:r>
      <w:r w:rsidR="008F714A">
        <w:t xml:space="preserve">n </w:t>
      </w:r>
      <w:r>
        <w:t>March 2025</w:t>
      </w:r>
      <w:r w:rsidR="00150707" w:rsidRPr="00150707">
        <w:t>(ICES, 202</w:t>
      </w:r>
      <w:r w:rsidR="008F714A">
        <w:t>5</w:t>
      </w:r>
      <w:r w:rsidR="00150707" w:rsidRPr="00150707">
        <w:t>). The relevant parts of these publications are further described in section 4.</w:t>
      </w:r>
    </w:p>
    <w:p w14:paraId="341FC332" w14:textId="152DD676" w:rsidR="008928E5" w:rsidRPr="008928E5" w:rsidRDefault="00150707" w:rsidP="00BE45D2">
      <w:pPr>
        <w:ind w:left="360"/>
        <w:jc w:val="both"/>
      </w:pPr>
      <w:r w:rsidRPr="00150707">
        <w:t>Based on ICES advice 2020a, 2024a, 2024b and 202</w:t>
      </w:r>
      <w:r w:rsidR="00A73F68">
        <w:t>5</w:t>
      </w:r>
      <w:r w:rsidRPr="00150707">
        <w:t xml:space="preserve">, </w:t>
      </w:r>
      <w:r w:rsidR="006138DB">
        <w:t xml:space="preserve">together with estimates of gillnet fishing effort and available mitigation measures, </w:t>
      </w:r>
      <w:r w:rsidR="008928E5">
        <w:t xml:space="preserve">BALTFISH has prepared a joint recommendation for conservation measures to reduce bycatches of </w:t>
      </w:r>
      <w:r w:rsidR="00235CD0">
        <w:t xml:space="preserve">Baltic </w:t>
      </w:r>
      <w:r w:rsidR="00987ED6">
        <w:t>P</w:t>
      </w:r>
      <w:r w:rsidR="00235CD0">
        <w:t xml:space="preserve">roper </w:t>
      </w:r>
      <w:r w:rsidR="008928E5">
        <w:t xml:space="preserve">harbour porpoise and alleviate further risk to this population. The </w:t>
      </w:r>
      <w:r w:rsidR="000E0709">
        <w:t>BALTFISH</w:t>
      </w:r>
      <w:r w:rsidR="008928E5">
        <w:t xml:space="preserve"> proposal is in addition to the current measures set</w:t>
      </w:r>
      <w:r w:rsidR="00D91FC0">
        <w:t xml:space="preserve"> out</w:t>
      </w:r>
      <w:r w:rsidR="008928E5">
        <w:t xml:space="preserve"> in Annex XIII of </w:t>
      </w:r>
      <w:r w:rsidR="007F7092">
        <w:t>the TMR</w:t>
      </w:r>
      <w:r w:rsidR="008928E5">
        <w:t>.</w:t>
      </w:r>
    </w:p>
    <w:p w14:paraId="6BEDC7C2" w14:textId="4E3DD9EB" w:rsidR="00777087" w:rsidRDefault="00777087" w:rsidP="00777087">
      <w:pPr>
        <w:pStyle w:val="Nagwek3"/>
        <w:numPr>
          <w:ilvl w:val="1"/>
          <w:numId w:val="20"/>
        </w:numPr>
      </w:pPr>
      <w:r>
        <w:t>The Legal Basis</w:t>
      </w:r>
    </w:p>
    <w:p w14:paraId="6D5E2FCC" w14:textId="3852857B" w:rsidR="00175D7C" w:rsidRDefault="00175D7C" w:rsidP="003D1655">
      <w:pPr>
        <w:ind w:left="360"/>
        <w:jc w:val="both"/>
      </w:pPr>
      <w:r>
        <w:t xml:space="preserve">Article 3 in Annex XIII of the </w:t>
      </w:r>
      <w:r w:rsidR="007F7092">
        <w:t xml:space="preserve">TMR </w:t>
      </w:r>
      <w:r>
        <w:t>states that as a result of scientific evidence, validated by</w:t>
      </w:r>
      <w:r w:rsidR="00B35C7C">
        <w:t xml:space="preserve"> </w:t>
      </w:r>
      <w:r w:rsidR="00FD67A1">
        <w:t xml:space="preserve">for instance </w:t>
      </w:r>
      <w:r>
        <w:t>ICES</w:t>
      </w:r>
      <w:r w:rsidR="00B35C7C">
        <w:t xml:space="preserve"> and </w:t>
      </w:r>
      <w:r>
        <w:t>STECF, of negative impacts of fishing gear on sensitive species, Member States shall submit joint recommendations for additional mitigation measures for the reduction of incidental catches of the concerned areas on the basis of article 15 of this regulation.</w:t>
      </w:r>
    </w:p>
    <w:p w14:paraId="00D2E783" w14:textId="3D17B733" w:rsidR="00175D7C" w:rsidRDefault="00175D7C" w:rsidP="00C86B82">
      <w:pPr>
        <w:ind w:left="360"/>
        <w:jc w:val="both"/>
      </w:pPr>
      <w:r>
        <w:t>Article 15(2) in</w:t>
      </w:r>
      <w:r w:rsidR="00866A38">
        <w:t xml:space="preserve"> the </w:t>
      </w:r>
      <w:r w:rsidR="007F7092">
        <w:t xml:space="preserve">TMR </w:t>
      </w:r>
      <w:r>
        <w:t xml:space="preserve">specifies that the Commission is empowered to adopt delegated acts in accordance with article 29 of the technical regulation, and to amend, supplement, repeal or derogate form the technical measures set out in Annex XIII. The Commission shall adopt such delegated acts </w:t>
      </w:r>
      <w:proofErr w:type="gramStart"/>
      <w:r>
        <w:t>on the basis of</w:t>
      </w:r>
      <w:proofErr w:type="gramEnd"/>
      <w:r>
        <w:t xml:space="preserve"> a joint recommendation submitted in accordance with Article 18 of Regulation (EU) 1380/2013 and in accordance with the relevant Articles of Chapter 3 of the </w:t>
      </w:r>
      <w:r w:rsidR="007F7092">
        <w:t>TMR</w:t>
      </w:r>
      <w:r>
        <w:t>.</w:t>
      </w:r>
    </w:p>
    <w:p w14:paraId="1FE60569" w14:textId="335B2047" w:rsidR="00777087" w:rsidRDefault="00175D7C" w:rsidP="00C86B82">
      <w:pPr>
        <w:ind w:left="360"/>
        <w:jc w:val="both"/>
      </w:pPr>
      <w:r>
        <w:t xml:space="preserve">Article 21(b) in </w:t>
      </w:r>
      <w:r w:rsidR="00422FD4">
        <w:t xml:space="preserve">the TMR </w:t>
      </w:r>
      <w:r>
        <w:t>specifies that a joint recommendation submitted for the purpose of adopting the measures referred to in Article 15(2), in relation to the protection of sensitive species, may in particular specify the use of additional or alternative measures to those referred to in Annex XIII to minimize the incidental catches of the species referred to in Article 11 (marine mammals, seabirds and marine reptiles).</w:t>
      </w:r>
    </w:p>
    <w:p w14:paraId="3F0C1B1C" w14:textId="44E7AC1F" w:rsidR="00777087" w:rsidRDefault="00777087" w:rsidP="00777087">
      <w:pPr>
        <w:pStyle w:val="Nagwek2"/>
        <w:numPr>
          <w:ilvl w:val="0"/>
          <w:numId w:val="20"/>
        </w:numPr>
      </w:pPr>
      <w:r>
        <w:t>BALTFISH</w:t>
      </w:r>
    </w:p>
    <w:p w14:paraId="7C09C43F" w14:textId="5B9467AA" w:rsidR="00175D7C" w:rsidRPr="00175D7C" w:rsidRDefault="00175D7C" w:rsidP="00C86B82">
      <w:pPr>
        <w:ind w:left="360"/>
        <w:jc w:val="both"/>
      </w:pPr>
      <w:r w:rsidRPr="00175D7C">
        <w:t>Ministers from the eight Member States (Denmark, Germany, Estonia, Latvia, Lithuania, Poland,</w:t>
      </w:r>
      <w:r>
        <w:t xml:space="preserve"> </w:t>
      </w:r>
      <w:r w:rsidRPr="00175D7C">
        <w:t>Finland and Sweden) in the Baltic Sea Region signed in December 2013 the Memorandum of</w:t>
      </w:r>
      <w:r>
        <w:t xml:space="preserve"> </w:t>
      </w:r>
      <w:r w:rsidRPr="00175D7C">
        <w:t xml:space="preserve">Understanding (MoU) that sets out the principles and working methods of </w:t>
      </w:r>
      <w:r w:rsidRPr="00175D7C">
        <w:lastRenderedPageBreak/>
        <w:t>BALTFISH. The MoU</w:t>
      </w:r>
      <w:r>
        <w:t xml:space="preserve"> </w:t>
      </w:r>
      <w:r w:rsidRPr="00175D7C">
        <w:t>states the aims of BALTFISH with a view to complying with the principles for regionalization as</w:t>
      </w:r>
      <w:r>
        <w:t xml:space="preserve"> </w:t>
      </w:r>
      <w:r w:rsidRPr="00175D7C">
        <w:t xml:space="preserve">stipulated in Regulation (EU) 1380/2013 and </w:t>
      </w:r>
      <w:proofErr w:type="gramStart"/>
      <w:r w:rsidRPr="00175D7C">
        <w:t>in particular Article</w:t>
      </w:r>
      <w:proofErr w:type="gramEnd"/>
      <w:r w:rsidRPr="00175D7C">
        <w:t xml:space="preserve"> 18. Article 18, amongst</w:t>
      </w:r>
      <w:r>
        <w:t xml:space="preserve"> </w:t>
      </w:r>
      <w:r w:rsidRPr="00175D7C">
        <w:t>others, states that Member States having a</w:t>
      </w:r>
      <w:r>
        <w:t xml:space="preserve"> </w:t>
      </w:r>
      <w:r w:rsidRPr="00175D7C">
        <w:t>direct management interest shall cooperate with one</w:t>
      </w:r>
      <w:r>
        <w:t xml:space="preserve"> </w:t>
      </w:r>
      <w:r w:rsidRPr="00175D7C">
        <w:t>another in formulating Joint Recommendations.</w:t>
      </w:r>
    </w:p>
    <w:p w14:paraId="3277FEC8" w14:textId="553F6B9A" w:rsidR="00777087" w:rsidRDefault="00777087" w:rsidP="00777087">
      <w:pPr>
        <w:pStyle w:val="Nagwek3"/>
        <w:numPr>
          <w:ilvl w:val="1"/>
          <w:numId w:val="20"/>
        </w:numPr>
      </w:pPr>
      <w:r>
        <w:t>The implementing authority</w:t>
      </w:r>
    </w:p>
    <w:p w14:paraId="7D0FCCA2" w14:textId="3EA4DE1E" w:rsidR="00175D7C" w:rsidRPr="00175D7C" w:rsidRDefault="00175D7C" w:rsidP="00C86B82">
      <w:pPr>
        <w:ind w:left="360"/>
        <w:jc w:val="both"/>
      </w:pPr>
      <w:r w:rsidRPr="00175D7C">
        <w:t xml:space="preserve">Article 15(2) </w:t>
      </w:r>
      <w:r w:rsidR="008159A8">
        <w:t xml:space="preserve">of the TMR </w:t>
      </w:r>
      <w:r w:rsidR="00866A38">
        <w:t>(</w:t>
      </w:r>
      <w:r w:rsidRPr="00175D7C">
        <w:t>EU</w:t>
      </w:r>
      <w:r w:rsidR="00866A38">
        <w:t>)</w:t>
      </w:r>
      <w:r w:rsidRPr="00175D7C">
        <w:t xml:space="preserve"> 2019/1241 specifies that the Commission is empowered to adopt delegated acts</w:t>
      </w:r>
      <w:r>
        <w:t xml:space="preserve"> </w:t>
      </w:r>
      <w:r w:rsidRPr="00175D7C">
        <w:t xml:space="preserve">in accordance with article 29 of the </w:t>
      </w:r>
      <w:r w:rsidR="00CD1A2E">
        <w:t>TMR (</w:t>
      </w:r>
      <w:r w:rsidR="00CD1A2E" w:rsidRPr="00175D7C">
        <w:t>EU</w:t>
      </w:r>
      <w:r w:rsidR="00CD1A2E">
        <w:t>)</w:t>
      </w:r>
      <w:r w:rsidR="00CD1A2E" w:rsidRPr="00175D7C">
        <w:t xml:space="preserve"> 2019/1241</w:t>
      </w:r>
      <w:r w:rsidRPr="00175D7C">
        <w:t>, and to amend, supplement, repeal</w:t>
      </w:r>
      <w:r>
        <w:t xml:space="preserve"> </w:t>
      </w:r>
      <w:r w:rsidRPr="00175D7C">
        <w:t>or derogate from the technical measures set out in Annex XIII. The Commission shall adopt such</w:t>
      </w:r>
      <w:r>
        <w:t xml:space="preserve"> </w:t>
      </w:r>
      <w:r w:rsidRPr="00175D7C">
        <w:t xml:space="preserve">delegated acts </w:t>
      </w:r>
      <w:proofErr w:type="gramStart"/>
      <w:r w:rsidRPr="00175D7C">
        <w:t>on the basis of</w:t>
      </w:r>
      <w:proofErr w:type="gramEnd"/>
      <w:r w:rsidRPr="00175D7C">
        <w:t xml:space="preserve"> a </w:t>
      </w:r>
      <w:r w:rsidR="00D91FC0">
        <w:t>JR</w:t>
      </w:r>
      <w:r w:rsidRPr="00175D7C">
        <w:t xml:space="preserve"> submitted in accordance with Article 18 of</w:t>
      </w:r>
      <w:r>
        <w:t xml:space="preserve"> </w:t>
      </w:r>
      <w:r w:rsidRPr="00175D7C">
        <w:t xml:space="preserve">Regulation (EU) 1380/2013 and in accordance with the relevant Articles of Chapter 3 of </w:t>
      </w:r>
      <w:r w:rsidR="00866A38">
        <w:t xml:space="preserve">Regulation </w:t>
      </w:r>
      <w:r w:rsidRPr="00175D7C">
        <w:t xml:space="preserve">(EU) 2019/1241. Furthermore, according to </w:t>
      </w:r>
      <w:r w:rsidR="00D91FC0">
        <w:t>a</w:t>
      </w:r>
      <w:r w:rsidRPr="00175D7C">
        <w:t>rticle 18(3)</w:t>
      </w:r>
      <w:r>
        <w:t xml:space="preserve"> </w:t>
      </w:r>
      <w:r w:rsidRPr="00175D7C">
        <w:t xml:space="preserve">of </w:t>
      </w:r>
      <w:r w:rsidR="00D91FC0">
        <w:t xml:space="preserve">Regulation </w:t>
      </w:r>
      <w:r>
        <w:t xml:space="preserve">(EU) </w:t>
      </w:r>
      <w:r w:rsidRPr="00175D7C">
        <w:t>1380/2013, the Commission may adopt conservation measures by means of delegated or</w:t>
      </w:r>
      <w:r>
        <w:t xml:space="preserve"> </w:t>
      </w:r>
      <w:r w:rsidRPr="00175D7C">
        <w:t>implementing acts based on a Joint Recommendation submitted by the relevant regional cooperation</w:t>
      </w:r>
      <w:r>
        <w:t xml:space="preserve"> </w:t>
      </w:r>
      <w:r w:rsidRPr="00175D7C">
        <w:t>forum, which for the Baltic Sea is the BALTFISH High Level Group.</w:t>
      </w:r>
    </w:p>
    <w:p w14:paraId="69E96203" w14:textId="1949484C" w:rsidR="00777087" w:rsidRDefault="00777087" w:rsidP="00777087">
      <w:pPr>
        <w:pStyle w:val="Nagwek3"/>
        <w:numPr>
          <w:ilvl w:val="1"/>
          <w:numId w:val="20"/>
        </w:numPr>
      </w:pPr>
      <w:r>
        <w:t>Consultation with relevant stakeholders</w:t>
      </w:r>
    </w:p>
    <w:p w14:paraId="682CFBA3" w14:textId="776D57C0" w:rsidR="00777087" w:rsidRPr="005520B0" w:rsidRDefault="00C905B4" w:rsidP="00C86B82">
      <w:pPr>
        <w:ind w:left="360"/>
        <w:jc w:val="both"/>
        <w:rPr>
          <w:i/>
          <w:iCs/>
        </w:rPr>
      </w:pPr>
      <w:r w:rsidRPr="00C905B4">
        <w:t xml:space="preserve">A proposal for a </w:t>
      </w:r>
      <w:r w:rsidR="005C1F82">
        <w:t>j</w:t>
      </w:r>
      <w:r w:rsidRPr="00C905B4">
        <w:t xml:space="preserve">oint </w:t>
      </w:r>
      <w:r w:rsidR="005C1F82">
        <w:t>r</w:t>
      </w:r>
      <w:r w:rsidRPr="00C905B4">
        <w:t xml:space="preserve">ecommendation was sent by the BALTFISH Presidency to the Baltic Sea Advisory Council, BSAC, for consultation on </w:t>
      </w:r>
      <w:r w:rsidR="00D91FC0">
        <w:t>[</w:t>
      </w:r>
      <w:r w:rsidRPr="00C905B4">
        <w:t>xx</w:t>
      </w:r>
      <w:r>
        <w:t xml:space="preserve"> </w:t>
      </w:r>
      <w:proofErr w:type="spellStart"/>
      <w:r>
        <w:t>xx</w:t>
      </w:r>
      <w:proofErr w:type="spellEnd"/>
      <w:r w:rsidRPr="00C905B4">
        <w:t xml:space="preserve"> </w:t>
      </w:r>
      <w:r>
        <w:t>20xx</w:t>
      </w:r>
      <w:r w:rsidR="00D91FC0">
        <w:t>]</w:t>
      </w:r>
      <w:r w:rsidRPr="00C905B4">
        <w:t xml:space="preserve">. The BSAC replied to the consultation and informed BALTFISH </w:t>
      </w:r>
      <w:r w:rsidR="00D91FC0">
        <w:t>[</w:t>
      </w:r>
      <w:r w:rsidRPr="00C905B4">
        <w:t>xx</w:t>
      </w:r>
      <w:r w:rsidR="00D91FC0">
        <w:t xml:space="preserve"> </w:t>
      </w:r>
      <w:proofErr w:type="spellStart"/>
      <w:r w:rsidRPr="00C905B4">
        <w:t>xx</w:t>
      </w:r>
      <w:proofErr w:type="spellEnd"/>
      <w:r w:rsidR="00D91FC0">
        <w:t xml:space="preserve"> 20</w:t>
      </w:r>
      <w:r w:rsidRPr="00C905B4">
        <w:t>x</w:t>
      </w:r>
      <w:r w:rsidR="005C1F82">
        <w:t>x</w:t>
      </w:r>
      <w:r w:rsidR="00D91FC0">
        <w:t>]</w:t>
      </w:r>
      <w:r w:rsidRPr="00C905B4">
        <w:t xml:space="preserve">, regarding the draft JR in a letter to the BALTFISH Presidency dated </w:t>
      </w:r>
      <w:r w:rsidR="00D91FC0">
        <w:t>[</w:t>
      </w:r>
      <w:r w:rsidRPr="00C905B4">
        <w:t xml:space="preserve">xx </w:t>
      </w:r>
      <w:proofErr w:type="spellStart"/>
      <w:r>
        <w:t>xx</w:t>
      </w:r>
      <w:proofErr w:type="spellEnd"/>
      <w:r>
        <w:t xml:space="preserve"> 20xx</w:t>
      </w:r>
      <w:r w:rsidR="00D91FC0">
        <w:t>]</w:t>
      </w:r>
      <w:r>
        <w:t>,</w:t>
      </w:r>
      <w:r w:rsidRPr="00C905B4">
        <w:t xml:space="preserve"> and prior to final agreement of BALTFISH HLG and subsequent submission to the Commission of the </w:t>
      </w:r>
      <w:r w:rsidR="005C1F82">
        <w:t>j</w:t>
      </w:r>
      <w:r w:rsidRPr="00C905B4">
        <w:t xml:space="preserve">oint </w:t>
      </w:r>
      <w:r w:rsidR="005C1F82">
        <w:t>r</w:t>
      </w:r>
      <w:r w:rsidRPr="00C905B4">
        <w:t>ecommendation.</w:t>
      </w:r>
      <w:r>
        <w:t xml:space="preserve"> </w:t>
      </w:r>
      <w:r w:rsidR="000240FE">
        <w:t>[</w:t>
      </w:r>
      <w:r>
        <w:rPr>
          <w:i/>
          <w:iCs/>
        </w:rPr>
        <w:t xml:space="preserve">To be </w:t>
      </w:r>
      <w:r w:rsidR="00FD67A1">
        <w:rPr>
          <w:i/>
          <w:iCs/>
        </w:rPr>
        <w:t>updated</w:t>
      </w:r>
      <w:r w:rsidR="00FD67A1" w:rsidRPr="00736674">
        <w:rPr>
          <w:i/>
          <w:iCs/>
        </w:rPr>
        <w:t xml:space="preserve"> </w:t>
      </w:r>
      <w:r w:rsidR="006138DB">
        <w:rPr>
          <w:i/>
          <w:iCs/>
        </w:rPr>
        <w:t>after</w:t>
      </w:r>
      <w:r w:rsidR="00400DB6" w:rsidRPr="00736674">
        <w:rPr>
          <w:i/>
          <w:iCs/>
        </w:rPr>
        <w:t xml:space="preserve"> the consultation process</w:t>
      </w:r>
      <w:r w:rsidR="00175D7C" w:rsidRPr="00736674">
        <w:rPr>
          <w:i/>
          <w:iCs/>
        </w:rPr>
        <w:t>.</w:t>
      </w:r>
      <w:r w:rsidR="000240FE" w:rsidRPr="00736674">
        <w:rPr>
          <w:i/>
          <w:iCs/>
        </w:rPr>
        <w:t>]</w:t>
      </w:r>
    </w:p>
    <w:p w14:paraId="7A30722B" w14:textId="0F7E021A" w:rsidR="00777087" w:rsidRDefault="00777087" w:rsidP="00777087">
      <w:pPr>
        <w:pStyle w:val="Nagwek2"/>
        <w:numPr>
          <w:ilvl w:val="0"/>
          <w:numId w:val="20"/>
        </w:numPr>
      </w:pPr>
      <w:r>
        <w:t>Existing regulations</w:t>
      </w:r>
    </w:p>
    <w:p w14:paraId="702345F5" w14:textId="2E886F68" w:rsidR="00777087" w:rsidRDefault="00777087" w:rsidP="00777087">
      <w:pPr>
        <w:pStyle w:val="Nagwek3"/>
        <w:numPr>
          <w:ilvl w:val="1"/>
          <w:numId w:val="20"/>
        </w:numPr>
      </w:pPr>
      <w:r>
        <w:t xml:space="preserve">The use of acoustic deterrent devices </w:t>
      </w:r>
      <w:r w:rsidR="00AF063D">
        <w:t>with</w:t>
      </w:r>
      <w:r>
        <w:t xml:space="preserve"> static nets</w:t>
      </w:r>
    </w:p>
    <w:p w14:paraId="09D8180C" w14:textId="70F27121" w:rsidR="004D73BE" w:rsidRDefault="00866A38" w:rsidP="000D08F5">
      <w:pPr>
        <w:ind w:left="360"/>
        <w:jc w:val="both"/>
      </w:pPr>
      <w:r>
        <w:t xml:space="preserve">The </w:t>
      </w:r>
      <w:r w:rsidR="008159A8">
        <w:t>TMR</w:t>
      </w:r>
      <w:r w:rsidR="004D73BE">
        <w:t xml:space="preserve"> (EU)</w:t>
      </w:r>
      <w:r w:rsidR="00736674">
        <w:t xml:space="preserve"> </w:t>
      </w:r>
      <w:r w:rsidR="004D73BE">
        <w:t>2019/1241 lay</w:t>
      </w:r>
      <w:r>
        <w:t>ing</w:t>
      </w:r>
      <w:r w:rsidR="004D73BE">
        <w:t xml:space="preserve"> down in Annex XIII the mitigation measures to reduce incidental catches of sensitive species, and more specifically, in Part A</w:t>
      </w:r>
      <w:r w:rsidR="00412EAE">
        <w:t xml:space="preserve">, point 1, </w:t>
      </w:r>
      <w:r w:rsidR="004D73BE">
        <w:t xml:space="preserve">establishing the mandatory use of acoustic deterrent devices in certain fisheries, areas and vessels, including </w:t>
      </w:r>
      <w:r w:rsidR="00987ED6">
        <w:t>part of the</w:t>
      </w:r>
      <w:r w:rsidR="004D73BE">
        <w:t xml:space="preserve"> Baltic Sea.</w:t>
      </w:r>
    </w:p>
    <w:p w14:paraId="4CEB6349" w14:textId="78A093B4" w:rsidR="00C34ECF" w:rsidRDefault="004D73BE" w:rsidP="00C34ECF">
      <w:pPr>
        <w:ind w:left="360"/>
        <w:jc w:val="both"/>
      </w:pPr>
      <w:r>
        <w:t xml:space="preserve">The Commission </w:t>
      </w:r>
      <w:r w:rsidR="00FA7A85">
        <w:t>Implementing</w:t>
      </w:r>
      <w:r>
        <w:t xml:space="preserve"> Regulation (EU) 2020/967 of 3 July 2020 laying down the detailed rules on the signal and implementation characteristics of acoustic deterrent devices as referred to in Part A of Annex XIII of </w:t>
      </w:r>
      <w:r w:rsidR="004D1D6B">
        <w:t>the</w:t>
      </w:r>
      <w:r w:rsidR="004A6EC6">
        <w:t xml:space="preserve"> </w:t>
      </w:r>
      <w:r>
        <w:t>T</w:t>
      </w:r>
      <w:r w:rsidR="008159A8">
        <w:t>MR</w:t>
      </w:r>
      <w:r w:rsidR="004D1D6B">
        <w:t xml:space="preserve"> (EU) 2019/1241.</w:t>
      </w:r>
      <w:r w:rsidR="00C34ECF" w:rsidRPr="00C34ECF">
        <w:t xml:space="preserve"> </w:t>
      </w:r>
    </w:p>
    <w:p w14:paraId="53003981" w14:textId="70D2DB0E" w:rsidR="004D73BE" w:rsidRPr="004D73BE" w:rsidRDefault="00C34ECF" w:rsidP="008510D6">
      <w:pPr>
        <w:ind w:left="360"/>
        <w:jc w:val="both"/>
      </w:pPr>
      <w:r>
        <w:t>The Commission</w:t>
      </w:r>
      <w:r w:rsidR="00483282">
        <w:t xml:space="preserve"> Delegated </w:t>
      </w:r>
      <w:r>
        <w:t>Regulation (EU) 2022/303 of the 15 December 2021 amended Annex XIII of the TMR (EU) 2019/1241. More specifically, Part A, point 3 of the Annex, establishing special measures in certain areas of the Baltic Sea.</w:t>
      </w:r>
    </w:p>
    <w:p w14:paraId="0130DB18" w14:textId="0D57988D" w:rsidR="00777087" w:rsidRDefault="00777087" w:rsidP="00777087">
      <w:pPr>
        <w:pStyle w:val="Nagwek3"/>
        <w:numPr>
          <w:ilvl w:val="1"/>
          <w:numId w:val="20"/>
        </w:numPr>
      </w:pPr>
      <w:r>
        <w:t>Spatial temporal closures</w:t>
      </w:r>
    </w:p>
    <w:p w14:paraId="4A47C63A" w14:textId="194EA5C8" w:rsidR="00777087" w:rsidRDefault="00DF0260" w:rsidP="000D08F5">
      <w:pPr>
        <w:ind w:left="360"/>
        <w:jc w:val="both"/>
      </w:pPr>
      <w:r>
        <w:t xml:space="preserve">The Commission </w:t>
      </w:r>
      <w:r w:rsidR="00483282">
        <w:t xml:space="preserve">Delegated </w:t>
      </w:r>
      <w:r>
        <w:t xml:space="preserve">Regulation (EU) 2022/303 of the 15 December 2021 amended Annex XIII of </w:t>
      </w:r>
      <w:r w:rsidR="00866A38">
        <w:t xml:space="preserve">the </w:t>
      </w:r>
      <w:r w:rsidR="004D1D6B">
        <w:t>TMR</w:t>
      </w:r>
      <w:r w:rsidR="00736674">
        <w:t xml:space="preserve"> (EU) 2019/1241</w:t>
      </w:r>
      <w:r>
        <w:t>. M</w:t>
      </w:r>
      <w:r w:rsidR="00736674">
        <w:t>ore specifically, Part A</w:t>
      </w:r>
      <w:r w:rsidR="00412EAE">
        <w:t xml:space="preserve">, point </w:t>
      </w:r>
      <w:r>
        <w:t>3 of the Annex</w:t>
      </w:r>
      <w:r w:rsidR="00412EAE">
        <w:t>,</w:t>
      </w:r>
      <w:r w:rsidR="00736674">
        <w:t xml:space="preserve"> establishing </w:t>
      </w:r>
      <w:r w:rsidR="00412EAE">
        <w:t>special measures</w:t>
      </w:r>
      <w:r w:rsidR="00736674">
        <w:t xml:space="preserve"> </w:t>
      </w:r>
      <w:r w:rsidR="00412EAE">
        <w:t>in certain areas of the</w:t>
      </w:r>
      <w:r w:rsidR="00736674">
        <w:t xml:space="preserve"> Baltic Sea.</w:t>
      </w:r>
    </w:p>
    <w:p w14:paraId="61D0EE4B" w14:textId="4EE6B216" w:rsidR="00C2096D" w:rsidRDefault="00C2096D" w:rsidP="00777087">
      <w:pPr>
        <w:pStyle w:val="Nagwek2"/>
        <w:numPr>
          <w:ilvl w:val="0"/>
          <w:numId w:val="20"/>
        </w:numPr>
      </w:pPr>
      <w:r>
        <w:lastRenderedPageBreak/>
        <w:t>Scientific background</w:t>
      </w:r>
    </w:p>
    <w:p w14:paraId="35430562" w14:textId="664680A4" w:rsidR="00341822" w:rsidRDefault="00C2096D" w:rsidP="00CF1A8A">
      <w:pPr>
        <w:ind w:left="360"/>
        <w:jc w:val="both"/>
        <w:rPr>
          <w:lang w:val="en-US"/>
        </w:rPr>
      </w:pPr>
      <w:r w:rsidRPr="00C2096D">
        <w:rPr>
          <w:lang w:val="en-US"/>
        </w:rPr>
        <w:t xml:space="preserve">ICES in its Special Request Advice of 26 May 2020 </w:t>
      </w:r>
      <w:r w:rsidR="00BE795B">
        <w:rPr>
          <w:lang w:val="en-US"/>
        </w:rPr>
        <w:t xml:space="preserve">(ICES, 2020a) </w:t>
      </w:r>
      <w:r w:rsidRPr="00C2096D">
        <w:rPr>
          <w:lang w:val="en-US"/>
        </w:rPr>
        <w:t xml:space="preserve">has identified seasonal-geographical areas for bycatch </w:t>
      </w:r>
      <w:proofErr w:type="gramStart"/>
      <w:r w:rsidRPr="00C2096D">
        <w:rPr>
          <w:lang w:val="en-US"/>
        </w:rPr>
        <w:t>mitigation, and</w:t>
      </w:r>
      <w:proofErr w:type="gramEnd"/>
      <w:r w:rsidRPr="00C2096D">
        <w:rPr>
          <w:lang w:val="en-US"/>
        </w:rPr>
        <w:t xml:space="preserve"> referred to the calculated potential biological removal (PBR) bycatch limit as the management objective and identified the high-risk areas for bycatch for the Baltic </w:t>
      </w:r>
      <w:r w:rsidR="00D91FC0">
        <w:rPr>
          <w:lang w:val="en-US"/>
        </w:rPr>
        <w:t xml:space="preserve">Proper </w:t>
      </w:r>
      <w:r w:rsidRPr="00C2096D">
        <w:rPr>
          <w:lang w:val="en-US"/>
        </w:rPr>
        <w:t>harbour porpoise. The proposed management area is between line of 13°E as the southwestern border and a line between 60.5°N on the Swedish coast and 61°N on the Finnish coast as the northern border</w:t>
      </w:r>
      <w:r w:rsidR="00341822">
        <w:rPr>
          <w:lang w:val="en-US"/>
        </w:rPr>
        <w:t xml:space="preserve"> (see figure 2). </w:t>
      </w:r>
      <w:r w:rsidR="00341822" w:rsidRPr="00C2096D">
        <w:rPr>
          <w:lang w:val="en-US"/>
        </w:rPr>
        <w:t>ASCOBANS Recovery Plan (</w:t>
      </w:r>
      <w:proofErr w:type="spellStart"/>
      <w:r w:rsidR="00341822" w:rsidRPr="00C2096D">
        <w:rPr>
          <w:lang w:val="en-US"/>
        </w:rPr>
        <w:t>Jastarnia</w:t>
      </w:r>
      <w:proofErr w:type="spellEnd"/>
      <w:r w:rsidR="00341822" w:rsidRPr="00C2096D">
        <w:rPr>
          <w:lang w:val="en-US"/>
        </w:rPr>
        <w:t xml:space="preserve"> Plan) for </w:t>
      </w:r>
      <w:r w:rsidR="00CB07F4">
        <w:rPr>
          <w:lang w:val="en-US"/>
        </w:rPr>
        <w:t xml:space="preserve">the </w:t>
      </w:r>
      <w:r w:rsidR="00341822" w:rsidRPr="00C2096D">
        <w:rPr>
          <w:lang w:val="en-US"/>
        </w:rPr>
        <w:t>Baltic</w:t>
      </w:r>
      <w:r w:rsidR="00D91FC0">
        <w:rPr>
          <w:lang w:val="en-US"/>
        </w:rPr>
        <w:t xml:space="preserve"> Proper</w:t>
      </w:r>
      <w:r w:rsidR="00341822" w:rsidRPr="00C2096D">
        <w:rPr>
          <w:lang w:val="en-US"/>
        </w:rPr>
        <w:t xml:space="preserve"> </w:t>
      </w:r>
      <w:r w:rsidR="00D91FC0">
        <w:rPr>
          <w:lang w:val="en-US"/>
        </w:rPr>
        <w:t>h</w:t>
      </w:r>
      <w:r w:rsidR="00341822" w:rsidRPr="00C2096D">
        <w:rPr>
          <w:lang w:val="en-US"/>
        </w:rPr>
        <w:t xml:space="preserve">arbour </w:t>
      </w:r>
      <w:r w:rsidR="00D91FC0">
        <w:rPr>
          <w:lang w:val="en-US"/>
        </w:rPr>
        <w:t>p</w:t>
      </w:r>
      <w:r w:rsidR="00341822" w:rsidRPr="00C2096D">
        <w:rPr>
          <w:lang w:val="en-US"/>
        </w:rPr>
        <w:t xml:space="preserve">orpoises of 2016 shows the high-density areas for harbour porpoises in the Baltic Sea based on the </w:t>
      </w:r>
      <w:proofErr w:type="gramStart"/>
      <w:r w:rsidR="00341822" w:rsidRPr="00C2096D">
        <w:rPr>
          <w:lang w:val="en-US"/>
        </w:rPr>
        <w:t>SAMBAH 2016</w:t>
      </w:r>
      <w:proofErr w:type="gramEnd"/>
      <w:r w:rsidR="00341822" w:rsidRPr="00C2096D">
        <w:rPr>
          <w:lang w:val="en-US"/>
        </w:rPr>
        <w:t xml:space="preserve"> study</w:t>
      </w:r>
      <w:r w:rsidR="00341822">
        <w:rPr>
          <w:lang w:val="en-US"/>
        </w:rPr>
        <w:t xml:space="preserve"> (SAMBAH, 2016)</w:t>
      </w:r>
      <w:r w:rsidR="00341822" w:rsidRPr="00C2096D">
        <w:rPr>
          <w:lang w:val="en-US"/>
        </w:rPr>
        <w:t xml:space="preserve">. It is evident that </w:t>
      </w:r>
      <w:r w:rsidR="008159A8">
        <w:rPr>
          <w:lang w:val="en-US"/>
        </w:rPr>
        <w:t xml:space="preserve">the </w:t>
      </w:r>
      <w:r w:rsidR="00341822" w:rsidRPr="00C2096D">
        <w:rPr>
          <w:lang w:val="en-US"/>
        </w:rPr>
        <w:t>occurrence of the harbo</w:t>
      </w:r>
      <w:r w:rsidR="00CF1A8A">
        <w:rPr>
          <w:lang w:val="en-US"/>
        </w:rPr>
        <w:t>u</w:t>
      </w:r>
      <w:r w:rsidR="00341822" w:rsidRPr="00C2096D">
        <w:rPr>
          <w:lang w:val="en-US"/>
        </w:rPr>
        <w:t xml:space="preserve">r porpoise is highest in the southwestern and western waters in the Baltic Sea but rare in the eastern and northern waters (east of longitude 20° E and north of latitude 60° N, </w:t>
      </w:r>
      <w:r w:rsidR="00341822">
        <w:rPr>
          <w:lang w:val="en-US"/>
        </w:rPr>
        <w:t>F</w:t>
      </w:r>
      <w:r w:rsidR="00341822" w:rsidRPr="00C2096D">
        <w:rPr>
          <w:lang w:val="en-US"/>
        </w:rPr>
        <w:t xml:space="preserve">igure </w:t>
      </w:r>
      <w:r w:rsidR="00341822">
        <w:rPr>
          <w:lang w:val="en-US"/>
        </w:rPr>
        <w:t>2</w:t>
      </w:r>
      <w:r w:rsidR="00341822" w:rsidRPr="00C2096D">
        <w:rPr>
          <w:lang w:val="en-US"/>
        </w:rPr>
        <w:t>).</w:t>
      </w:r>
    </w:p>
    <w:p w14:paraId="38E3450A" w14:textId="63CC1CFF" w:rsidR="00341822" w:rsidRPr="00CD1A2E" w:rsidRDefault="00341822" w:rsidP="00CF1A8A">
      <w:pPr>
        <w:ind w:left="360"/>
        <w:jc w:val="both"/>
        <w:rPr>
          <w:lang w:val="en-US"/>
        </w:rPr>
      </w:pPr>
      <w:r w:rsidRPr="00CD1A2E">
        <w:rPr>
          <w:lang w:val="en-US"/>
        </w:rPr>
        <w:t>The ASCOBAN</w:t>
      </w:r>
      <w:r w:rsidR="00CF1A8A" w:rsidRPr="00CD1A2E">
        <w:rPr>
          <w:lang w:val="en-US"/>
        </w:rPr>
        <w:t>S</w:t>
      </w:r>
      <w:r w:rsidRPr="00CD1A2E">
        <w:rPr>
          <w:lang w:val="en-US"/>
        </w:rPr>
        <w:t xml:space="preserve"> resolution from September 2020 on Baltic Proper harbour porpoise urges the Parties to implement swiftly the recommendations on measures for bycatch mitigation made by ICES in areas of more than occasional harbour porpoise occurrence and to put in place long-term bycatch mitigation measures in line with the ICES advice both within and outside marine protected areas in areas of more than occasional harbour porpoise occurrence.</w:t>
      </w:r>
    </w:p>
    <w:p w14:paraId="0EC36C24" w14:textId="77777777" w:rsidR="00124AA5" w:rsidRDefault="00341822" w:rsidP="00E711C0">
      <w:pPr>
        <w:ind w:left="360"/>
        <w:jc w:val="both"/>
        <w:rPr>
          <w:lang w:val="en-US"/>
        </w:rPr>
      </w:pPr>
      <w:r w:rsidRPr="009B66E1">
        <w:rPr>
          <w:lang w:val="en-US"/>
        </w:rPr>
        <w:t>ICES advise of May 2020 (ICES, 2020a) advises a combination of spatial-temporal closures and application of ADDs/pingers in static nets (</w:t>
      </w:r>
      <w:proofErr w:type="spellStart"/>
      <w:r w:rsidRPr="009B66E1">
        <w:rPr>
          <w:lang w:val="en-US"/>
        </w:rPr>
        <w:t>trammelnet</w:t>
      </w:r>
      <w:proofErr w:type="spellEnd"/>
      <w:r w:rsidRPr="009B66E1">
        <w:rPr>
          <w:lang w:val="en-US"/>
        </w:rPr>
        <w:t xml:space="preserve">, gillnet, and semi-driftnet) fisheries for the protection of Baltic Proper harbour porpoise. </w:t>
      </w:r>
    </w:p>
    <w:p w14:paraId="00DF1F77" w14:textId="5B1D96D4" w:rsidR="006F6BF2" w:rsidRDefault="00341822" w:rsidP="00E711C0">
      <w:pPr>
        <w:ind w:left="360"/>
        <w:jc w:val="both"/>
      </w:pPr>
      <w:r w:rsidRPr="009B66E1">
        <w:rPr>
          <w:lang w:val="en-US"/>
        </w:rPr>
        <w:t xml:space="preserve">ICES further advises that protection measures can only be effective when applied for a longer </w:t>
      </w:r>
      <w:proofErr w:type="gramStart"/>
      <w:r w:rsidRPr="009B66E1">
        <w:rPr>
          <w:lang w:val="en-US"/>
        </w:rPr>
        <w:t>period of time</w:t>
      </w:r>
      <w:proofErr w:type="gramEnd"/>
      <w:r w:rsidRPr="009B66E1">
        <w:rPr>
          <w:lang w:val="en-US"/>
        </w:rPr>
        <w:t>. According to ICES</w:t>
      </w:r>
      <w:r w:rsidR="00DF5A7E">
        <w:rPr>
          <w:lang w:val="en-US"/>
        </w:rPr>
        <w:t xml:space="preserve"> WGMME 2019</w:t>
      </w:r>
      <w:r w:rsidR="00727C16">
        <w:rPr>
          <w:lang w:val="en-US"/>
        </w:rPr>
        <w:t>,</w:t>
      </w:r>
      <w:r w:rsidRPr="009B66E1">
        <w:rPr>
          <w:lang w:val="en-US"/>
        </w:rPr>
        <w:t xml:space="preserve"> the threat levels for the Baltic </w:t>
      </w:r>
      <w:r w:rsidRPr="00E711C0">
        <w:rPr>
          <w:lang w:val="en-US"/>
        </w:rPr>
        <w:t>Proper harbour porpoise were considered high for bycatch, contaminants, and impulsive underwater noise sources</w:t>
      </w:r>
      <w:r w:rsidR="00B310C9" w:rsidRPr="00E711C0">
        <w:rPr>
          <w:lang w:val="en-US"/>
        </w:rPr>
        <w:t xml:space="preserve"> such as sonar, pile driving, explosions and seismic surveys</w:t>
      </w:r>
      <w:r w:rsidR="00483282">
        <w:rPr>
          <w:lang w:val="en-US"/>
        </w:rPr>
        <w:t xml:space="preserve"> Th</w:t>
      </w:r>
      <w:r w:rsidRPr="00E711C0">
        <w:rPr>
          <w:lang w:val="en-US"/>
        </w:rPr>
        <w:t xml:space="preserve">e </w:t>
      </w:r>
      <w:r w:rsidR="00B310C9" w:rsidRPr="00E711C0">
        <w:rPr>
          <w:lang w:val="en-US"/>
        </w:rPr>
        <w:t xml:space="preserve">bycatch </w:t>
      </w:r>
      <w:r w:rsidRPr="00E711C0">
        <w:rPr>
          <w:lang w:val="en-US"/>
        </w:rPr>
        <w:t>high-risk fisheries are static net</w:t>
      </w:r>
      <w:r w:rsidR="00B310C9" w:rsidRPr="00E711C0">
        <w:rPr>
          <w:lang w:val="en-US"/>
        </w:rPr>
        <w:t>s</w:t>
      </w:r>
      <w:r w:rsidRPr="00E711C0">
        <w:rPr>
          <w:lang w:val="en-US"/>
        </w:rPr>
        <w:t>. Static</w:t>
      </w:r>
      <w:r w:rsidRPr="00C2096D">
        <w:rPr>
          <w:lang w:val="en-US"/>
        </w:rPr>
        <w:t xml:space="preserve"> net fisheries </w:t>
      </w:r>
      <w:r>
        <w:rPr>
          <w:lang w:val="en-US"/>
        </w:rPr>
        <w:t>should</w:t>
      </w:r>
      <w:r w:rsidRPr="00C2096D">
        <w:rPr>
          <w:lang w:val="en-US"/>
        </w:rPr>
        <w:t xml:space="preserve"> therefor</w:t>
      </w:r>
      <w:r w:rsidR="00CD1A2E">
        <w:rPr>
          <w:lang w:val="en-US"/>
        </w:rPr>
        <w:t>e</w:t>
      </w:r>
      <w:r w:rsidRPr="00C2096D">
        <w:rPr>
          <w:lang w:val="en-US"/>
        </w:rPr>
        <w:t xml:space="preserve"> be </w:t>
      </w:r>
      <w:r>
        <w:rPr>
          <w:lang w:val="en-US"/>
        </w:rPr>
        <w:t>regulated</w:t>
      </w:r>
      <w:r w:rsidRPr="00C2096D">
        <w:rPr>
          <w:lang w:val="en-US"/>
        </w:rPr>
        <w:t xml:space="preserve"> with either </w:t>
      </w:r>
      <w:proofErr w:type="gramStart"/>
      <w:r w:rsidRPr="00C2096D">
        <w:rPr>
          <w:lang w:val="en-US"/>
        </w:rPr>
        <w:t>prohibition to use</w:t>
      </w:r>
      <w:proofErr w:type="gramEnd"/>
      <w:r w:rsidRPr="00C2096D">
        <w:rPr>
          <w:lang w:val="en-US"/>
        </w:rPr>
        <w:t xml:space="preserve"> such gear or </w:t>
      </w:r>
      <w:proofErr w:type="gramStart"/>
      <w:r w:rsidRPr="00C2096D">
        <w:rPr>
          <w:lang w:val="en-US"/>
        </w:rPr>
        <w:t>to use</w:t>
      </w:r>
      <w:proofErr w:type="gramEnd"/>
      <w:r w:rsidRPr="00C2096D">
        <w:rPr>
          <w:lang w:val="en-US"/>
        </w:rPr>
        <w:t xml:space="preserve"> it only with acoustic deterrent devices. Such restrictions, including restrictions for other gear</w:t>
      </w:r>
      <w:r w:rsidR="00FA5991">
        <w:rPr>
          <w:lang w:val="en-US"/>
        </w:rPr>
        <w:t>s</w:t>
      </w:r>
      <w:r w:rsidRPr="00C2096D">
        <w:rPr>
          <w:lang w:val="en-US"/>
        </w:rPr>
        <w:t xml:space="preserve"> as appropriate, apply for fishing in the areas which, </w:t>
      </w:r>
      <w:r w:rsidR="004E3518">
        <w:rPr>
          <w:lang w:val="en-US"/>
        </w:rPr>
        <w:t>(</w:t>
      </w:r>
      <w:r w:rsidRPr="00C2096D">
        <w:rPr>
          <w:lang w:val="en-US"/>
        </w:rPr>
        <w:t>according to studies), are areas of concentration of harbour porpoise</w:t>
      </w:r>
      <w:r w:rsidR="00010C17">
        <w:rPr>
          <w:lang w:val="en-US"/>
        </w:rPr>
        <w:t xml:space="preserve"> </w:t>
      </w:r>
      <w:r w:rsidR="00010C17" w:rsidRPr="00C2096D">
        <w:rPr>
          <w:lang w:val="en-US"/>
        </w:rPr>
        <w:t>(SAMBAH</w:t>
      </w:r>
      <w:r w:rsidR="00010C17">
        <w:rPr>
          <w:lang w:val="en-US"/>
        </w:rPr>
        <w:t>,</w:t>
      </w:r>
      <w:r w:rsidR="00010C17" w:rsidRPr="00C2096D">
        <w:rPr>
          <w:lang w:val="en-US"/>
        </w:rPr>
        <w:t xml:space="preserve"> 2016</w:t>
      </w:r>
      <w:r w:rsidR="00010C17">
        <w:rPr>
          <w:lang w:val="en-US"/>
        </w:rPr>
        <w:t>)</w:t>
      </w:r>
      <w:r w:rsidRPr="00C2096D">
        <w:rPr>
          <w:lang w:val="en-US"/>
        </w:rPr>
        <w:t>.</w:t>
      </w:r>
      <w:r w:rsidRPr="00341822">
        <w:rPr>
          <w:lang w:val="en-US"/>
        </w:rPr>
        <w:t xml:space="preserve"> </w:t>
      </w:r>
      <w:r w:rsidR="0084457B" w:rsidRPr="00C2096D">
        <w:rPr>
          <w:lang w:val="en-US"/>
        </w:rPr>
        <w:t>The ICES advice</w:t>
      </w:r>
      <w:r w:rsidR="0084457B">
        <w:rPr>
          <w:lang w:val="en-US"/>
        </w:rPr>
        <w:t xml:space="preserve">, however, </w:t>
      </w:r>
      <w:r w:rsidR="0084457B" w:rsidRPr="00C2096D">
        <w:rPr>
          <w:lang w:val="en-US"/>
        </w:rPr>
        <w:t xml:space="preserve">mentions that there are also concerns about habituation to pingers over time, and a </w:t>
      </w:r>
      <w:r w:rsidR="0084457B">
        <w:rPr>
          <w:lang w:val="en-US"/>
        </w:rPr>
        <w:t xml:space="preserve">possible </w:t>
      </w:r>
      <w:r w:rsidR="0084457B" w:rsidRPr="00C2096D">
        <w:rPr>
          <w:lang w:val="en-US"/>
        </w:rPr>
        <w:t>reduced foraging efficiency of deterred porpoises</w:t>
      </w:r>
      <w:r w:rsidR="0084457B">
        <w:rPr>
          <w:lang w:val="en-US"/>
        </w:rPr>
        <w:t xml:space="preserve">. </w:t>
      </w:r>
      <w:r w:rsidR="0084457B" w:rsidRPr="00C2096D">
        <w:rPr>
          <w:lang w:val="en-US"/>
        </w:rPr>
        <w:t xml:space="preserve">These potential negative consequences of pinger use do not speak in favor of a </w:t>
      </w:r>
      <w:proofErr w:type="gramStart"/>
      <w:r w:rsidR="0084457B" w:rsidRPr="00C2096D">
        <w:rPr>
          <w:lang w:val="en-US"/>
        </w:rPr>
        <w:t>broad-scale</w:t>
      </w:r>
      <w:proofErr w:type="gramEnd"/>
      <w:r w:rsidR="0084457B" w:rsidRPr="00C2096D">
        <w:rPr>
          <w:lang w:val="en-US"/>
        </w:rPr>
        <w:t xml:space="preserve"> pinger use obligation.</w:t>
      </w:r>
      <w:r w:rsidR="0084457B">
        <w:rPr>
          <w:lang w:val="en-US"/>
        </w:rPr>
        <w:t xml:space="preserve"> </w:t>
      </w:r>
      <w:r w:rsidR="0084457B" w:rsidRPr="00E711C0">
        <w:rPr>
          <w:lang w:val="en-US"/>
        </w:rPr>
        <w:t xml:space="preserve">ICES also recommends the largescale use of pingers in static net fisheries, regardless of vessel size, </w:t>
      </w:r>
      <w:r w:rsidR="00620004" w:rsidRPr="00E711C0">
        <w:rPr>
          <w:lang w:val="en-US"/>
        </w:rPr>
        <w:t xml:space="preserve">addressing </w:t>
      </w:r>
      <w:r w:rsidR="0084457B" w:rsidRPr="00E711C0">
        <w:rPr>
          <w:lang w:val="en-US"/>
        </w:rPr>
        <w:t>the fishing métiers with the highest bycatch rates and affec</w:t>
      </w:r>
      <w:r w:rsidR="00620004" w:rsidRPr="00E711C0">
        <w:rPr>
          <w:lang w:val="en-US"/>
        </w:rPr>
        <w:t xml:space="preserve">ting </w:t>
      </w:r>
      <w:r w:rsidR="0084457B" w:rsidRPr="00E711C0">
        <w:rPr>
          <w:lang w:val="en-US"/>
        </w:rPr>
        <w:t>a large fraction of static nets. The expected bycatch reduction by this measure will likely have a positive effect on the population, but in areas where</w:t>
      </w:r>
      <w:r w:rsidR="0084457B" w:rsidRPr="00C2096D">
        <w:rPr>
          <w:lang w:val="en-US"/>
        </w:rPr>
        <w:t xml:space="preserve"> porpoises are not abundant and only occasionally observed, the disadvantages of using pingers might exceed the advantages</w:t>
      </w:r>
      <w:r w:rsidR="0084457B">
        <w:rPr>
          <w:lang w:val="en-US"/>
        </w:rPr>
        <w:t xml:space="preserve"> (ICES, 2020b)</w:t>
      </w:r>
      <w:r w:rsidR="0084457B" w:rsidRPr="00C2096D">
        <w:rPr>
          <w:lang w:val="en-US"/>
        </w:rPr>
        <w:t xml:space="preserve">. As the </w:t>
      </w:r>
      <w:proofErr w:type="spellStart"/>
      <w:r w:rsidR="0084457B" w:rsidRPr="00C2096D">
        <w:rPr>
          <w:lang w:val="en-US"/>
        </w:rPr>
        <w:t>Jastarnia</w:t>
      </w:r>
      <w:proofErr w:type="spellEnd"/>
      <w:r w:rsidR="0084457B" w:rsidRPr="00C2096D">
        <w:rPr>
          <w:lang w:val="en-US"/>
        </w:rPr>
        <w:t xml:space="preserve"> Plan (ASCOBANS, 2016) points out, pingers are only suited as an interim measure until alternative gears are available.</w:t>
      </w:r>
      <w:r w:rsidR="006F6BF2" w:rsidRPr="006F6BF2">
        <w:t xml:space="preserve"> </w:t>
      </w:r>
    </w:p>
    <w:p w14:paraId="1EFFDB31" w14:textId="463C3292" w:rsidR="00FA5991" w:rsidRPr="00FA5991" w:rsidRDefault="006F6BF2" w:rsidP="00FA5991">
      <w:pPr>
        <w:ind w:left="360"/>
        <w:jc w:val="both"/>
        <w:rPr>
          <w:lang w:val="en-US"/>
        </w:rPr>
      </w:pPr>
      <w:r w:rsidRPr="006F6BF2">
        <w:rPr>
          <w:lang w:val="en-US"/>
        </w:rPr>
        <w:t xml:space="preserve">In relation to previous advice on </w:t>
      </w:r>
      <w:r w:rsidR="00FA5991">
        <w:rPr>
          <w:lang w:val="en-US"/>
        </w:rPr>
        <w:t xml:space="preserve">largescale use of </w:t>
      </w:r>
      <w:r w:rsidRPr="006F6BF2">
        <w:rPr>
          <w:lang w:val="en-US"/>
        </w:rPr>
        <w:t xml:space="preserve">pingers (ICES 2020a), ICES has also described alternative measures to pingers to prevent bycatch of the harbour porpoise in the Baltic Sea (ICES, 2024a). The implementation of dynamic closures as a mitigation tool to reduce harbour porpoise bycatch in the Baltic Sea is not considered optimal, since this management tool does not mitigate the interaction between highly mobile elusive species and fisheries with high site </w:t>
      </w:r>
      <w:r w:rsidR="00933118">
        <w:rPr>
          <w:lang w:val="en-US"/>
        </w:rPr>
        <w:t>dependence</w:t>
      </w:r>
      <w:r w:rsidRPr="006F6BF2">
        <w:rPr>
          <w:lang w:val="en-US"/>
        </w:rPr>
        <w:t xml:space="preserve">. ICES also considers dynamic closures to be </w:t>
      </w:r>
      <w:r w:rsidRPr="006F6BF2">
        <w:rPr>
          <w:lang w:val="en-US"/>
        </w:rPr>
        <w:lastRenderedPageBreak/>
        <w:t>particularly problematic in relation to insufficient real time monitoring of harbour porpoise occurrences that could be transmitted to fishers in relevant areas</w:t>
      </w:r>
      <w:r w:rsidR="00FA5991">
        <w:rPr>
          <w:lang w:val="en-US"/>
        </w:rPr>
        <w:t>. Finally,</w:t>
      </w:r>
      <w:r w:rsidR="00CA4C94" w:rsidRPr="00FA5991">
        <w:rPr>
          <w:lang w:val="en-US"/>
        </w:rPr>
        <w:t xml:space="preserve"> </w:t>
      </w:r>
      <w:r w:rsidR="00CA4C94" w:rsidRPr="00CA4C94">
        <w:rPr>
          <w:lang w:val="en-US"/>
        </w:rPr>
        <w:t xml:space="preserve">ICES concludes that the use of fishing gears with lower bycatch risks </w:t>
      </w:r>
      <w:r w:rsidR="00FA5991">
        <w:rPr>
          <w:lang w:val="en-US"/>
        </w:rPr>
        <w:t xml:space="preserve">(such as </w:t>
      </w:r>
      <w:r w:rsidR="00FA5991" w:rsidRPr="00FA5991">
        <w:rPr>
          <w:lang w:val="en-US"/>
        </w:rPr>
        <w:t xml:space="preserve">traps and pots, longlines, and seines) </w:t>
      </w:r>
      <w:r w:rsidR="00CA4C94" w:rsidRPr="00CA4C94">
        <w:rPr>
          <w:lang w:val="en-US"/>
        </w:rPr>
        <w:t>is the most efficient way of preventing porpoise bycatches (ICES, 2024a).</w:t>
      </w:r>
      <w:r w:rsidR="004A6EC6" w:rsidRPr="00FA5991">
        <w:rPr>
          <w:lang w:val="en-US"/>
        </w:rPr>
        <w:t xml:space="preserve"> </w:t>
      </w:r>
    </w:p>
    <w:p w14:paraId="7EEC55CB" w14:textId="6302E96E" w:rsidR="00C2096D" w:rsidRPr="00C2096D" w:rsidRDefault="00C2096D" w:rsidP="00341822">
      <w:pPr>
        <w:ind w:left="360"/>
        <w:rPr>
          <w:lang w:val="en-US"/>
        </w:rPr>
      </w:pPr>
      <w:r w:rsidRPr="00C2096D">
        <w:rPr>
          <w:noProof/>
          <w:lang w:val="pl-PL" w:eastAsia="pl-PL"/>
        </w:rPr>
        <w:drawing>
          <wp:inline distT="0" distB="0" distL="0" distR="0" wp14:anchorId="2E345124" wp14:editId="2819AE64">
            <wp:extent cx="5621274" cy="7153275"/>
            <wp:effectExtent l="0" t="0" r="0" b="0"/>
            <wp:docPr id="7" name="Pil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9118" cy="7175982"/>
                    </a:xfrm>
                    <a:prstGeom prst="rect">
                      <a:avLst/>
                    </a:prstGeom>
                    <a:noFill/>
                    <a:ln>
                      <a:noFill/>
                    </a:ln>
                  </pic:spPr>
                </pic:pic>
              </a:graphicData>
            </a:graphic>
          </wp:inline>
        </w:drawing>
      </w:r>
      <w:r w:rsidRPr="00C2096D">
        <w:rPr>
          <w:lang w:val="en-US"/>
        </w:rPr>
        <w:t xml:space="preserve">     </w:t>
      </w:r>
      <w:r w:rsidRPr="006138DB">
        <w:rPr>
          <w:b/>
          <w:bCs/>
          <w:sz w:val="20"/>
          <w:szCs w:val="20"/>
          <w:lang w:val="en-US"/>
        </w:rPr>
        <w:t xml:space="preserve">Figure </w:t>
      </w:r>
      <w:r w:rsidR="00686880" w:rsidRPr="006138DB">
        <w:rPr>
          <w:b/>
          <w:bCs/>
          <w:sz w:val="20"/>
          <w:szCs w:val="20"/>
          <w:lang w:val="en-US"/>
        </w:rPr>
        <w:t>2</w:t>
      </w:r>
      <w:r w:rsidRPr="006138DB">
        <w:rPr>
          <w:b/>
          <w:bCs/>
          <w:sz w:val="20"/>
          <w:szCs w:val="20"/>
          <w:lang w:val="en-US"/>
        </w:rPr>
        <w:t>.</w:t>
      </w:r>
      <w:r w:rsidRPr="006138DB">
        <w:rPr>
          <w:sz w:val="20"/>
          <w:szCs w:val="20"/>
          <w:lang w:val="en-US"/>
        </w:rPr>
        <w:t xml:space="preserve"> High-density areas for harbour porpoises in the SAMBAH area (shaded) based on predictions of probability of detection. The four upper panels show the high-density areas of two different levels per quarter, and the two lower panels show the full-year pictures for each of the two density levels. During May – October, the isoline of 20% probability of detection encompasses approximately 30% of the Baltic</w:t>
      </w:r>
      <w:r w:rsidR="00D91FC0">
        <w:rPr>
          <w:sz w:val="20"/>
          <w:szCs w:val="20"/>
          <w:lang w:val="en-US"/>
        </w:rPr>
        <w:t xml:space="preserve"> Proper</w:t>
      </w:r>
      <w:r w:rsidRPr="006138DB">
        <w:rPr>
          <w:sz w:val="20"/>
          <w:szCs w:val="20"/>
          <w:lang w:val="en-US"/>
        </w:rPr>
        <w:t xml:space="preserve"> harbour porpoise population, while the isoline of 30% </w:t>
      </w:r>
      <w:r w:rsidRPr="006138DB">
        <w:rPr>
          <w:sz w:val="20"/>
          <w:szCs w:val="20"/>
          <w:lang w:val="en-US"/>
        </w:rPr>
        <w:lastRenderedPageBreak/>
        <w:t>probability of detection encompasses approximately 7.8% of the Baltic</w:t>
      </w:r>
      <w:r w:rsidR="00D91FC0">
        <w:rPr>
          <w:sz w:val="20"/>
          <w:szCs w:val="20"/>
          <w:lang w:val="en-US"/>
        </w:rPr>
        <w:t xml:space="preserve"> Proper</w:t>
      </w:r>
      <w:r w:rsidRPr="006138DB">
        <w:rPr>
          <w:sz w:val="20"/>
          <w:szCs w:val="20"/>
          <w:lang w:val="en-US"/>
        </w:rPr>
        <w:t xml:space="preserve"> harbour porpoise population. During November – April, the same isolines for probability of detection are shown without correlating them to the proportions of the population. Southwest of the SAMBAH population border, the high-density areas are inhabited by animals from both the Baltic and the Belt Sea populations during November – April</w:t>
      </w:r>
      <w:r w:rsidRPr="00C2096D">
        <w:rPr>
          <w:lang w:val="en-US"/>
        </w:rPr>
        <w:t>.</w:t>
      </w:r>
    </w:p>
    <w:p w14:paraId="072273E8" w14:textId="34071B93" w:rsidR="002E21A5" w:rsidRDefault="00150707" w:rsidP="00150707">
      <w:pPr>
        <w:ind w:left="360"/>
        <w:jc w:val="both"/>
        <w:rPr>
          <w:lang w:val="en-US"/>
        </w:rPr>
      </w:pPr>
      <w:r>
        <w:rPr>
          <w:lang w:val="en-US"/>
        </w:rPr>
        <w:t>The most recent estimations of annual Baltic harbour porpoise bycatches were summarized in ICES 2024b, however the bycatch estimates for 2023 were presented for both the Baltic proper population and the Belt Sea population combined. The spatial bycatch risk for harbour porpoise in the Baltic Sea was described in ICES special request advice of December 2024</w:t>
      </w:r>
      <w:r w:rsidR="00E32052">
        <w:rPr>
          <w:lang w:val="en-US"/>
        </w:rPr>
        <w:t xml:space="preserve"> (replaced by new advice in March 2025)</w:t>
      </w:r>
      <w:r>
        <w:rPr>
          <w:lang w:val="en-US"/>
        </w:rPr>
        <w:t xml:space="preserve">, in which relative ranks of bycatch risk </w:t>
      </w:r>
      <w:proofErr w:type="gramStart"/>
      <w:r>
        <w:rPr>
          <w:lang w:val="en-US"/>
        </w:rPr>
        <w:t>was</w:t>
      </w:r>
      <w:proofErr w:type="gramEnd"/>
      <w:r>
        <w:rPr>
          <w:lang w:val="en-US"/>
        </w:rPr>
        <w:t xml:space="preserve"> mapped for each quarter of the year for ICES rectangles in the Baltic Sea (see figure 3</w:t>
      </w:r>
      <w:r w:rsidR="002E21A5">
        <w:rPr>
          <w:lang w:val="en-US"/>
        </w:rPr>
        <w:t xml:space="preserve"> a</w:t>
      </w:r>
      <w:r>
        <w:rPr>
          <w:lang w:val="en-US"/>
        </w:rPr>
        <w:t>nd ICES, 202</w:t>
      </w:r>
      <w:r w:rsidR="00E32052">
        <w:rPr>
          <w:lang w:val="en-US"/>
        </w:rPr>
        <w:t>5</w:t>
      </w:r>
      <w:r>
        <w:rPr>
          <w:lang w:val="en-US"/>
        </w:rPr>
        <w:t xml:space="preserve">). </w:t>
      </w:r>
      <w:r w:rsidRPr="001F4ADE">
        <w:rPr>
          <w:lang w:val="en-US"/>
        </w:rPr>
        <w:t>The relative bycatch risk was determined from the temporal and spatial</w:t>
      </w:r>
      <w:r>
        <w:rPr>
          <w:lang w:val="en-US"/>
        </w:rPr>
        <w:t xml:space="preserve"> </w:t>
      </w:r>
      <w:r w:rsidRPr="001F4ADE">
        <w:rPr>
          <w:lang w:val="en-US"/>
        </w:rPr>
        <w:t>overlap between</w:t>
      </w:r>
      <w:r>
        <w:rPr>
          <w:lang w:val="en-US"/>
        </w:rPr>
        <w:t xml:space="preserve"> estimates of habitat suitability of</w:t>
      </w:r>
      <w:r w:rsidRPr="001F4ADE">
        <w:rPr>
          <w:lang w:val="en-US"/>
        </w:rPr>
        <w:t xml:space="preserve"> the harbour porpoise, and fishing effort </w:t>
      </w:r>
      <w:r>
        <w:rPr>
          <w:lang w:val="en-US"/>
        </w:rPr>
        <w:t>expressed as number of fishing days</w:t>
      </w:r>
      <w:r w:rsidRPr="001F4ADE">
        <w:rPr>
          <w:lang w:val="en-US"/>
        </w:rPr>
        <w:t>.</w:t>
      </w:r>
      <w:r>
        <w:rPr>
          <w:lang w:val="en-US"/>
        </w:rPr>
        <w:t xml:space="preserve"> ICES concluded that h</w:t>
      </w:r>
      <w:r w:rsidRPr="001F4ADE">
        <w:rPr>
          <w:lang w:val="en-US"/>
        </w:rPr>
        <w:t>igh</w:t>
      </w:r>
      <w:r>
        <w:rPr>
          <w:lang w:val="en-US"/>
        </w:rPr>
        <w:t>er</w:t>
      </w:r>
      <w:r w:rsidRPr="001F4ADE">
        <w:rPr>
          <w:lang w:val="en-US"/>
        </w:rPr>
        <w:t xml:space="preserve"> bycatch risk is driven by high harbour porpoise habitat suitability and consistently high</w:t>
      </w:r>
      <w:r>
        <w:rPr>
          <w:lang w:val="en-US"/>
        </w:rPr>
        <w:t xml:space="preserve"> </w:t>
      </w:r>
      <w:r w:rsidRPr="001F4ADE">
        <w:rPr>
          <w:lang w:val="en-US"/>
        </w:rPr>
        <w:t xml:space="preserve">fishing effort, specifically </w:t>
      </w:r>
      <w:r>
        <w:rPr>
          <w:lang w:val="en-US"/>
        </w:rPr>
        <w:t xml:space="preserve">for </w:t>
      </w:r>
      <w:proofErr w:type="gramStart"/>
      <w:r w:rsidRPr="001F4ADE">
        <w:rPr>
          <w:lang w:val="en-US"/>
        </w:rPr>
        <w:t>set</w:t>
      </w:r>
      <w:proofErr w:type="gramEnd"/>
      <w:r w:rsidRPr="001F4ADE">
        <w:rPr>
          <w:lang w:val="en-US"/>
        </w:rPr>
        <w:t xml:space="preserve"> gillnets with medium and large mesh sizes</w:t>
      </w:r>
      <w:r>
        <w:rPr>
          <w:lang w:val="en-US"/>
        </w:rPr>
        <w:t xml:space="preserve"> (ICES</w:t>
      </w:r>
      <w:r w:rsidR="00B514CD">
        <w:rPr>
          <w:lang w:val="en-US"/>
        </w:rPr>
        <w:t>,</w:t>
      </w:r>
      <w:r>
        <w:rPr>
          <w:lang w:val="en-US"/>
        </w:rPr>
        <w:t xml:space="preserve"> 202</w:t>
      </w:r>
      <w:r w:rsidR="00C931B9">
        <w:rPr>
          <w:lang w:val="en-US"/>
        </w:rPr>
        <w:t>5</w:t>
      </w:r>
      <w:r>
        <w:rPr>
          <w:lang w:val="en-US"/>
        </w:rPr>
        <w:t>)</w:t>
      </w:r>
      <w:r w:rsidRPr="001F4ADE">
        <w:rPr>
          <w:lang w:val="en-US"/>
        </w:rPr>
        <w:t>.</w:t>
      </w:r>
    </w:p>
    <w:p w14:paraId="34210055" w14:textId="77777777" w:rsidR="002E21A5" w:rsidRDefault="002E21A5" w:rsidP="00150707">
      <w:pPr>
        <w:ind w:left="360"/>
        <w:jc w:val="both"/>
        <w:rPr>
          <w:lang w:val="en-US"/>
        </w:rPr>
      </w:pPr>
    </w:p>
    <w:p w14:paraId="545F05FB" w14:textId="77777777" w:rsidR="002E21A5" w:rsidRDefault="002E21A5" w:rsidP="00150707">
      <w:pPr>
        <w:ind w:left="360"/>
        <w:jc w:val="both"/>
        <w:rPr>
          <w:lang w:val="en-US"/>
        </w:rPr>
      </w:pPr>
      <w:r w:rsidRPr="002E21A5">
        <w:rPr>
          <w:noProof/>
          <w:lang w:val="pl-PL" w:eastAsia="pl-PL"/>
        </w:rPr>
        <w:drawing>
          <wp:inline distT="0" distB="0" distL="0" distR="0" wp14:anchorId="2B61F732" wp14:editId="6855092F">
            <wp:extent cx="5509737" cy="5029636"/>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509737" cy="5029636"/>
                    </a:xfrm>
                    <a:prstGeom prst="rect">
                      <a:avLst/>
                    </a:prstGeom>
                  </pic:spPr>
                </pic:pic>
              </a:graphicData>
            </a:graphic>
          </wp:inline>
        </w:drawing>
      </w:r>
    </w:p>
    <w:p w14:paraId="0861FF29" w14:textId="77777777" w:rsidR="008029F2" w:rsidRDefault="002E21A5" w:rsidP="00E711C0">
      <w:pPr>
        <w:ind w:left="360"/>
        <w:jc w:val="both"/>
        <w:rPr>
          <w:sz w:val="20"/>
          <w:szCs w:val="20"/>
        </w:rPr>
      </w:pPr>
      <w:r w:rsidRPr="002E21A5">
        <w:rPr>
          <w:b/>
          <w:bCs/>
          <w:sz w:val="20"/>
          <w:szCs w:val="20"/>
          <w:lang w:val="en-US"/>
        </w:rPr>
        <w:lastRenderedPageBreak/>
        <w:t>Figure 3.</w:t>
      </w:r>
      <w:r>
        <w:rPr>
          <w:lang w:val="en-US"/>
        </w:rPr>
        <w:t xml:space="preserve"> </w:t>
      </w:r>
      <w:r w:rsidRPr="002E21A5">
        <w:rPr>
          <w:sz w:val="20"/>
          <w:szCs w:val="20"/>
        </w:rPr>
        <w:t>Estimated relative bycatch risk for harbour porpoise in the Baltic Sea at the scale of 5 × 5 km grid cell in set gillnets (GNS) and trammel nets (GTR) for each quarter of pooled years 2021 and 2022. The relative bycatch risk is based on relative ranks and classified using quantiles (20/40/60/80%) of the distribution of values for all four quarters (A-D). Black dotted lines in the sout</w:t>
      </w:r>
      <w:r w:rsidR="008029F2">
        <w:rPr>
          <w:sz w:val="20"/>
          <w:szCs w:val="20"/>
        </w:rPr>
        <w:t>h</w:t>
      </w:r>
      <w:r w:rsidRPr="002E21A5">
        <w:rPr>
          <w:sz w:val="20"/>
          <w:szCs w:val="20"/>
        </w:rPr>
        <w:t xml:space="preserve">western Baltic reflect the approximate position of a management border for Baltic Proper harbour porpoise distribution in summer (panels B and C) and winter (panels A and D), as proposed by </w:t>
      </w:r>
      <w:proofErr w:type="spellStart"/>
      <w:r w:rsidRPr="002E21A5">
        <w:rPr>
          <w:sz w:val="20"/>
          <w:szCs w:val="20"/>
        </w:rPr>
        <w:t>Carlén</w:t>
      </w:r>
      <w:proofErr w:type="spellEnd"/>
      <w:r w:rsidRPr="002E21A5">
        <w:rPr>
          <w:sz w:val="20"/>
          <w:szCs w:val="20"/>
        </w:rPr>
        <w:t xml:space="preserve"> et al. (2018). White dotted lines together with arrows indicate seasonal shifts in this border in the middle of quarter 2 (panel</w:t>
      </w:r>
      <w:r w:rsidR="008029F2">
        <w:rPr>
          <w:sz w:val="20"/>
          <w:szCs w:val="20"/>
        </w:rPr>
        <w:t xml:space="preserve"> </w:t>
      </w:r>
      <w:r w:rsidRPr="002E21A5">
        <w:rPr>
          <w:sz w:val="20"/>
          <w:szCs w:val="20"/>
        </w:rPr>
        <w:t>B) and the beginning of quarter 4 (panel D). See ICES</w:t>
      </w:r>
      <w:r w:rsidR="00B514CD">
        <w:rPr>
          <w:sz w:val="20"/>
          <w:szCs w:val="20"/>
        </w:rPr>
        <w:t>,</w:t>
      </w:r>
      <w:r w:rsidRPr="002E21A5">
        <w:rPr>
          <w:sz w:val="20"/>
          <w:szCs w:val="20"/>
        </w:rPr>
        <w:t xml:space="preserve"> 202</w:t>
      </w:r>
      <w:r w:rsidR="009C3D9D">
        <w:rPr>
          <w:sz w:val="20"/>
          <w:szCs w:val="20"/>
        </w:rPr>
        <w:t>5</w:t>
      </w:r>
      <w:r w:rsidRPr="002E21A5">
        <w:rPr>
          <w:sz w:val="20"/>
          <w:szCs w:val="20"/>
        </w:rPr>
        <w:t xml:space="preserve"> for details.</w:t>
      </w:r>
    </w:p>
    <w:p w14:paraId="71C15391" w14:textId="5A36EE54" w:rsidR="0084457B" w:rsidRPr="00C2096D" w:rsidRDefault="0084457B" w:rsidP="00E711C0">
      <w:pPr>
        <w:ind w:left="360"/>
        <w:jc w:val="both"/>
        <w:rPr>
          <w:lang w:val="en-US"/>
        </w:rPr>
      </w:pPr>
      <w:r>
        <w:rPr>
          <w:lang w:val="en-US"/>
        </w:rPr>
        <w:t xml:space="preserve">The </w:t>
      </w:r>
      <w:r w:rsidRPr="00C2096D">
        <w:rPr>
          <w:lang w:val="en-US"/>
        </w:rPr>
        <w:t xml:space="preserve">ASCOBANS report </w:t>
      </w:r>
      <w:r>
        <w:rPr>
          <w:lang w:val="en-US"/>
        </w:rPr>
        <w:t xml:space="preserve">of 2016 </w:t>
      </w:r>
      <w:r w:rsidR="007B5B71">
        <w:rPr>
          <w:lang w:val="en-US"/>
        </w:rPr>
        <w:t xml:space="preserve">and </w:t>
      </w:r>
      <w:proofErr w:type="spellStart"/>
      <w:r w:rsidR="007B5B71">
        <w:rPr>
          <w:lang w:val="en-US"/>
        </w:rPr>
        <w:t>Carlén</w:t>
      </w:r>
      <w:proofErr w:type="spellEnd"/>
      <w:r w:rsidR="007B5B71">
        <w:rPr>
          <w:lang w:val="en-US"/>
        </w:rPr>
        <w:t xml:space="preserve"> et al., 2018,</w:t>
      </w:r>
      <w:r w:rsidRPr="00C2096D">
        <w:rPr>
          <w:lang w:val="en-US"/>
        </w:rPr>
        <w:t xml:space="preserve"> points out that water depth was found to be a strong predictor </w:t>
      </w:r>
      <w:r>
        <w:rPr>
          <w:lang w:val="en-US"/>
        </w:rPr>
        <w:t xml:space="preserve">for the presence </w:t>
      </w:r>
      <w:r w:rsidRPr="00C2096D">
        <w:rPr>
          <w:lang w:val="en-US"/>
        </w:rPr>
        <w:t>of harbour porpoises</w:t>
      </w:r>
      <w:r>
        <w:rPr>
          <w:lang w:val="en-US"/>
        </w:rPr>
        <w:t>, as they are</w:t>
      </w:r>
      <w:r w:rsidRPr="00C2096D">
        <w:rPr>
          <w:lang w:val="en-US"/>
        </w:rPr>
        <w:t xml:space="preserve"> primarily in waters shallower than 40 m</w:t>
      </w:r>
      <w:r>
        <w:rPr>
          <w:lang w:val="en-US"/>
        </w:rPr>
        <w:t xml:space="preserve">, </w:t>
      </w:r>
      <w:r w:rsidRPr="00C2096D">
        <w:rPr>
          <w:lang w:val="en-US"/>
        </w:rPr>
        <w:t>with a tendency to higher densities at 20 – 40 m depth.</w:t>
      </w:r>
    </w:p>
    <w:p w14:paraId="484C2504" w14:textId="3C64F862" w:rsidR="00C2096D" w:rsidRPr="00C2096D" w:rsidRDefault="00C2096D" w:rsidP="00E711C0">
      <w:pPr>
        <w:ind w:left="360"/>
        <w:jc w:val="both"/>
        <w:rPr>
          <w:lang w:val="en-US"/>
        </w:rPr>
      </w:pPr>
      <w:r w:rsidRPr="00C2096D">
        <w:rPr>
          <w:lang w:val="en-US"/>
        </w:rPr>
        <w:t xml:space="preserve">The ICES in its advice from May 2020 </w:t>
      </w:r>
      <w:r w:rsidR="00BE795B">
        <w:rPr>
          <w:lang w:val="en-US"/>
        </w:rPr>
        <w:t xml:space="preserve">(ICES, 2020a) </w:t>
      </w:r>
      <w:r w:rsidRPr="00C2096D">
        <w:rPr>
          <w:lang w:val="en-US"/>
        </w:rPr>
        <w:t xml:space="preserve">did not </w:t>
      </w:r>
      <w:r w:rsidR="00B35C7C" w:rsidRPr="00C2096D">
        <w:rPr>
          <w:lang w:val="en-US"/>
        </w:rPr>
        <w:t>analyze</w:t>
      </w:r>
      <w:r w:rsidRPr="00C2096D">
        <w:rPr>
          <w:lang w:val="en-US"/>
        </w:rPr>
        <w:t xml:space="preserve"> the filament or twine thicknesses used in static nets in the </w:t>
      </w:r>
      <w:r w:rsidR="00B35C7C" w:rsidRPr="00C2096D">
        <w:rPr>
          <w:lang w:val="en-US"/>
        </w:rPr>
        <w:t>Baltic Sea</w:t>
      </w:r>
      <w:r w:rsidRPr="00C2096D">
        <w:rPr>
          <w:lang w:val="en-US"/>
        </w:rPr>
        <w:t>, thereof it is necessary to take into consideration FAO relevant reports. FAO Report (FAO, 2018) shows that gillnets constructed from weaker twines might facilitate the release of entangled cetaceans. In North Sea and West of Scotland gillnet fishery thinner twine monofilament nets (0,4 mm, 90 mm mesh size) reduced bycatch of harbour porpoise when compared to thick (0.6 mm twine diameter, 267 mm mesh size) monofilament nets. Marine mammals should be better able to break free from thinner twined gillnets, but uncertainty remains regarding their health and survival following the encounter (i.e., unaccounted for mortality).</w:t>
      </w:r>
    </w:p>
    <w:p w14:paraId="408012AA" w14:textId="3FD4495C" w:rsidR="00C719EC" w:rsidRDefault="00C2096D" w:rsidP="00E1036E">
      <w:pPr>
        <w:ind w:left="360"/>
        <w:jc w:val="both"/>
        <w:rPr>
          <w:lang w:val="en-US"/>
        </w:rPr>
      </w:pPr>
      <w:r w:rsidRPr="00C2096D">
        <w:rPr>
          <w:lang w:val="en-US"/>
        </w:rPr>
        <w:t>In the eastern and northern part of the Baltic Sea mostly thin twines (0,1-0,45 mm) are used in coastal gillnets fisheries due to the smaller fish targeted (</w:t>
      </w:r>
      <w:r w:rsidR="00B35C7C" w:rsidRPr="00B35C7C">
        <w:rPr>
          <w:i/>
          <w:iCs/>
          <w:lang w:val="en-US"/>
        </w:rPr>
        <w:t>i.e.</w:t>
      </w:r>
      <w:r w:rsidR="00B35C7C">
        <w:rPr>
          <w:lang w:val="en-US"/>
        </w:rPr>
        <w:t xml:space="preserve"> </w:t>
      </w:r>
      <w:r w:rsidRPr="00C2096D">
        <w:rPr>
          <w:lang w:val="en-US"/>
        </w:rPr>
        <w:t>perch, herring, smelt, whitefish, garfish, flatfish, pikeperch, vimba, roach, ide) and mostly shallower (less than 20 m depth) water where no strong currents occur. After the closure of eastern cod target fishery in 2019 the use of 2-4 mm twine gillnets has decreased remarkably in the Baltic Sea.</w:t>
      </w:r>
    </w:p>
    <w:p w14:paraId="39E2A167" w14:textId="72E26519" w:rsidR="00C2096D" w:rsidRPr="00C2096D" w:rsidRDefault="00777087" w:rsidP="00255F44">
      <w:pPr>
        <w:pStyle w:val="Nagwek2"/>
        <w:numPr>
          <w:ilvl w:val="0"/>
          <w:numId w:val="20"/>
        </w:numPr>
      </w:pPr>
      <w:r>
        <w:t>BALTFIS</w:t>
      </w:r>
      <w:r w:rsidR="00E43980">
        <w:t>H r</w:t>
      </w:r>
      <w:r>
        <w:t>ecommendation</w:t>
      </w:r>
      <w:r w:rsidR="00E43980">
        <w:t>s</w:t>
      </w:r>
      <w:r>
        <w:t xml:space="preserve"> on bycatch mitigation measures for </w:t>
      </w:r>
      <w:r w:rsidR="00D91FC0">
        <w:t xml:space="preserve">Baltic Proper </w:t>
      </w:r>
      <w:r>
        <w:t>harbour porpoise</w:t>
      </w:r>
    </w:p>
    <w:p w14:paraId="0B3BE809" w14:textId="0D459336" w:rsidR="00777087" w:rsidRDefault="00777087" w:rsidP="00777087">
      <w:pPr>
        <w:pStyle w:val="Nagwek3"/>
        <w:numPr>
          <w:ilvl w:val="1"/>
          <w:numId w:val="20"/>
        </w:numPr>
      </w:pPr>
      <w:r>
        <w:t>Definitions</w:t>
      </w:r>
    </w:p>
    <w:p w14:paraId="1A80E8F5" w14:textId="2512326B" w:rsidR="005A42A2" w:rsidRDefault="005A42A2" w:rsidP="00E711C0">
      <w:pPr>
        <w:pStyle w:val="Akapitzlist"/>
        <w:numPr>
          <w:ilvl w:val="0"/>
          <w:numId w:val="22"/>
        </w:numPr>
        <w:jc w:val="both"/>
      </w:pPr>
      <w:r>
        <w:t xml:space="preserve">Static nets </w:t>
      </w:r>
      <w:r w:rsidR="00694E09">
        <w:t>mean</w:t>
      </w:r>
      <w:r>
        <w:t xml:space="preserve"> any type of gillnet, entangling net or trammel net that is anchored to the seabed for fish to swim into and become entangled or enmeshed in the netting</w:t>
      </w:r>
      <w:r w:rsidR="00694E09">
        <w:t>, as defined in article 6</w:t>
      </w:r>
      <w:r w:rsidR="00736674">
        <w:t>(</w:t>
      </w:r>
      <w:r w:rsidR="00694E09">
        <w:t>23</w:t>
      </w:r>
      <w:r w:rsidR="00736674">
        <w:t>)</w:t>
      </w:r>
      <w:r w:rsidR="00694E09">
        <w:t xml:space="preserve"> in Regulation (EU) 2019/1241 of the European Parliament and of the Council.</w:t>
      </w:r>
    </w:p>
    <w:p w14:paraId="7CD07681" w14:textId="77777777" w:rsidR="00BE07B5" w:rsidRDefault="00BE07B5" w:rsidP="00BE07B5">
      <w:pPr>
        <w:pStyle w:val="Akapitzlist"/>
        <w:numPr>
          <w:ilvl w:val="0"/>
          <w:numId w:val="22"/>
        </w:numPr>
        <w:jc w:val="both"/>
      </w:pPr>
      <w:r>
        <w:t>Mesh size according to article 6(34) in Regulation (EU) 2019/1241 of the European Parliament and of the Council.</w:t>
      </w:r>
    </w:p>
    <w:p w14:paraId="26C23743" w14:textId="69F043CD" w:rsidR="00777087" w:rsidRDefault="00777087" w:rsidP="00E1036E">
      <w:pPr>
        <w:pStyle w:val="Nagwek3"/>
        <w:numPr>
          <w:ilvl w:val="1"/>
          <w:numId w:val="20"/>
        </w:numPr>
      </w:pPr>
      <w:r>
        <w:t>The BALTFISH HLG recommends the following conservation measures for union fishing vessels:</w:t>
      </w:r>
    </w:p>
    <w:p w14:paraId="29FAC8C1" w14:textId="389EABE6" w:rsidR="007E325B" w:rsidRDefault="00CB5532" w:rsidP="003F29FA">
      <w:pPr>
        <w:pStyle w:val="Akapitzlist"/>
        <w:numPr>
          <w:ilvl w:val="0"/>
          <w:numId w:val="21"/>
        </w:numPr>
        <w:jc w:val="both"/>
      </w:pPr>
      <w:r>
        <w:t xml:space="preserve">The use of static nets </w:t>
      </w:r>
      <w:r w:rsidR="00C6134D">
        <w:t xml:space="preserve">with a net height above </w:t>
      </w:r>
      <w:r>
        <w:t>4 me</w:t>
      </w:r>
      <w:r w:rsidR="00FB7C7A">
        <w:t>tres is prohibited for all</w:t>
      </w:r>
      <w:r>
        <w:t xml:space="preserve"> </w:t>
      </w:r>
      <w:r w:rsidR="00FB7C7A">
        <w:t xml:space="preserve">nets with </w:t>
      </w:r>
      <w:r>
        <w:t>mesh size</w:t>
      </w:r>
      <w:r w:rsidR="00FB7C7A">
        <w:t>s</w:t>
      </w:r>
      <w:r>
        <w:t xml:space="preserve"> larger than </w:t>
      </w:r>
      <w:r w:rsidRPr="00CB5532">
        <w:t>120</w:t>
      </w:r>
      <w:r>
        <w:t xml:space="preserve"> millimetres</w:t>
      </w:r>
      <w:r w:rsidR="00483282">
        <w:t>,</w:t>
      </w:r>
      <w:r w:rsidR="007E325B">
        <w:t xml:space="preserve"> within</w:t>
      </w:r>
      <w:r w:rsidR="00483282">
        <w:t xml:space="preserve"> the geographical areas </w:t>
      </w:r>
      <w:r w:rsidR="00013DD4">
        <w:t>specified</w:t>
      </w:r>
      <w:r w:rsidR="00483282">
        <w:t xml:space="preserve"> below.</w:t>
      </w:r>
    </w:p>
    <w:p w14:paraId="10575DF7" w14:textId="77777777" w:rsidR="007E325B" w:rsidRDefault="007E325B" w:rsidP="007E325B">
      <w:pPr>
        <w:pStyle w:val="Akapitzlist"/>
        <w:ind w:left="1090"/>
        <w:jc w:val="both"/>
      </w:pPr>
    </w:p>
    <w:p w14:paraId="53FE4B48" w14:textId="0BDAF40F" w:rsidR="00162572" w:rsidRDefault="00013DD4" w:rsidP="00162572">
      <w:pPr>
        <w:pStyle w:val="Akapitzlist"/>
        <w:ind w:left="1090"/>
        <w:jc w:val="both"/>
      </w:pPr>
      <w:r>
        <w:rPr>
          <w:u w:val="single"/>
        </w:rPr>
        <w:t>G</w:t>
      </w:r>
      <w:r w:rsidR="00162572" w:rsidRPr="00162572">
        <w:rPr>
          <w:u w:val="single"/>
        </w:rPr>
        <w:t>eographical areas</w:t>
      </w:r>
      <w:r w:rsidR="00162572">
        <w:t>:</w:t>
      </w:r>
    </w:p>
    <w:p w14:paraId="5D9AF234" w14:textId="77777777" w:rsidR="00162572" w:rsidRDefault="00162572" w:rsidP="00162572">
      <w:pPr>
        <w:pStyle w:val="Akapitzlist"/>
        <w:ind w:left="1090"/>
        <w:jc w:val="both"/>
      </w:pPr>
    </w:p>
    <w:p w14:paraId="1C4AA80F" w14:textId="77777777" w:rsidR="00162572" w:rsidRDefault="00162572" w:rsidP="00162572">
      <w:pPr>
        <w:pStyle w:val="Akapitzlist"/>
        <w:numPr>
          <w:ilvl w:val="0"/>
          <w:numId w:val="23"/>
        </w:numPr>
        <w:jc w:val="both"/>
      </w:pPr>
      <w:r>
        <w:lastRenderedPageBreak/>
        <w:t>Subdivision 24, and the Swedish Exclusive Economic Zone (EEZ) of subdivisions 25, 27, and 28.2 (see figure 4).</w:t>
      </w:r>
    </w:p>
    <w:p w14:paraId="771E01E4" w14:textId="24C1ADFD" w:rsidR="00162572" w:rsidRDefault="00162572" w:rsidP="00162572">
      <w:pPr>
        <w:ind w:left="1090"/>
        <w:jc w:val="both"/>
      </w:pPr>
      <w:r w:rsidRPr="00162572">
        <w:rPr>
          <w:u w:val="single"/>
        </w:rPr>
        <w:t>Exempted geographical areas</w:t>
      </w:r>
      <w:r w:rsidR="003D45DB">
        <w:rPr>
          <w:u w:val="single"/>
        </w:rPr>
        <w:t xml:space="preserve"> in subdivision 24</w:t>
      </w:r>
      <w:r>
        <w:t>:</w:t>
      </w:r>
    </w:p>
    <w:p w14:paraId="553B7BBE" w14:textId="0C7385A5" w:rsidR="00162572" w:rsidRDefault="00162572" w:rsidP="00162572">
      <w:pPr>
        <w:ind w:left="1090"/>
        <w:jc w:val="both"/>
      </w:pPr>
      <w:r>
        <w:t>The measure under point 1 does not apply in “</w:t>
      </w:r>
      <w:proofErr w:type="spellStart"/>
      <w:r>
        <w:t>Achterwasser</w:t>
      </w:r>
      <w:proofErr w:type="spellEnd"/>
      <w:r>
        <w:t>” and “</w:t>
      </w:r>
      <w:proofErr w:type="spellStart"/>
      <w:r>
        <w:t>Stettiner</w:t>
      </w:r>
      <w:proofErr w:type="spellEnd"/>
      <w:r>
        <w:t xml:space="preserve"> Haff” within the baseline</w:t>
      </w:r>
      <w:r w:rsidR="00D11355">
        <w:t xml:space="preserve">, </w:t>
      </w:r>
      <w:r w:rsidR="00D11355" w:rsidRPr="00D11355">
        <w:t>specifically south of the line between 54° 10,31' N, 13° 42,0 ' E and 54° 10,31' N 13° 46,4 ' E (“</w:t>
      </w:r>
      <w:proofErr w:type="spellStart"/>
      <w:r w:rsidR="00D11355" w:rsidRPr="00D11355">
        <w:t>Grenze</w:t>
      </w:r>
      <w:proofErr w:type="spellEnd"/>
      <w:r w:rsidR="00D11355" w:rsidRPr="00D11355">
        <w:t xml:space="preserve"> </w:t>
      </w:r>
      <w:proofErr w:type="spellStart"/>
      <w:r w:rsidR="00D11355" w:rsidRPr="00D11355">
        <w:t>Peenestrom</w:t>
      </w:r>
      <w:proofErr w:type="spellEnd"/>
      <w:r w:rsidR="00D11355" w:rsidRPr="00D11355">
        <w:t>”)</w:t>
      </w:r>
      <w:r>
        <w:t xml:space="preserve"> (see figure 5).</w:t>
      </w:r>
    </w:p>
    <w:p w14:paraId="4DF22BD5" w14:textId="77777777" w:rsidR="00BE07B5" w:rsidRDefault="00BE07B5" w:rsidP="00162572">
      <w:pPr>
        <w:ind w:left="1090"/>
        <w:jc w:val="both"/>
      </w:pPr>
    </w:p>
    <w:p w14:paraId="660701DC" w14:textId="5488163C" w:rsidR="00162572" w:rsidRPr="00BE07B5" w:rsidRDefault="00BE07B5" w:rsidP="00BE07B5">
      <w:pPr>
        <w:pStyle w:val="Akapitzlist"/>
        <w:ind w:left="1090"/>
        <w:jc w:val="both"/>
        <w:rPr>
          <w:lang w:val="sv-SE"/>
        </w:rPr>
      </w:pPr>
      <w:r w:rsidRPr="00BE07B5">
        <w:rPr>
          <w:noProof/>
          <w:lang w:val="sv-SE"/>
        </w:rPr>
        <w:drawing>
          <wp:inline distT="0" distB="0" distL="0" distR="0" wp14:anchorId="680B235E" wp14:editId="4F22AEC3">
            <wp:extent cx="2834640" cy="4021676"/>
            <wp:effectExtent l="0" t="0" r="381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9783" cy="4057348"/>
                    </a:xfrm>
                    <a:prstGeom prst="rect">
                      <a:avLst/>
                    </a:prstGeom>
                    <a:noFill/>
                    <a:ln>
                      <a:noFill/>
                    </a:ln>
                  </pic:spPr>
                </pic:pic>
              </a:graphicData>
            </a:graphic>
          </wp:inline>
        </w:drawing>
      </w:r>
    </w:p>
    <w:p w14:paraId="35DF4CF5" w14:textId="77777777" w:rsidR="00162572" w:rsidRDefault="00162572" w:rsidP="00162572">
      <w:pPr>
        <w:pStyle w:val="Akapitzlist"/>
        <w:ind w:left="1090"/>
        <w:jc w:val="both"/>
        <w:rPr>
          <w:sz w:val="20"/>
          <w:szCs w:val="20"/>
        </w:rPr>
      </w:pPr>
      <w:r w:rsidRPr="00162572">
        <w:rPr>
          <w:b/>
          <w:bCs/>
          <w:sz w:val="20"/>
          <w:szCs w:val="20"/>
        </w:rPr>
        <w:t>Figure 4.</w:t>
      </w:r>
      <w:r w:rsidRPr="00162572">
        <w:rPr>
          <w:sz w:val="20"/>
          <w:szCs w:val="20"/>
        </w:rPr>
        <w:t xml:space="preserve"> Map of geographical areas.</w:t>
      </w:r>
    </w:p>
    <w:p w14:paraId="19F2C0FF" w14:textId="77777777" w:rsidR="00BE07B5" w:rsidRPr="00162572" w:rsidRDefault="00BE07B5" w:rsidP="00162572">
      <w:pPr>
        <w:pStyle w:val="Akapitzlist"/>
        <w:ind w:left="1090"/>
        <w:jc w:val="both"/>
        <w:rPr>
          <w:sz w:val="20"/>
          <w:szCs w:val="20"/>
        </w:rPr>
      </w:pPr>
    </w:p>
    <w:p w14:paraId="51ABF6F8" w14:textId="77777777" w:rsidR="00483282" w:rsidRDefault="00483282" w:rsidP="00483282">
      <w:pPr>
        <w:pStyle w:val="Akapitzlist"/>
        <w:ind w:left="1090"/>
        <w:jc w:val="both"/>
      </w:pPr>
    </w:p>
    <w:p w14:paraId="20947A88" w14:textId="03B52DC4" w:rsidR="002414FA" w:rsidRDefault="009854D7" w:rsidP="002414FA">
      <w:pPr>
        <w:pStyle w:val="Akapitzlist"/>
        <w:ind w:left="1090"/>
        <w:jc w:val="both"/>
      </w:pPr>
      <w:r w:rsidRPr="009854D7">
        <w:rPr>
          <w:noProof/>
        </w:rPr>
        <w:lastRenderedPageBreak/>
        <w:drawing>
          <wp:inline distT="0" distB="0" distL="0" distR="0" wp14:anchorId="58A973EB" wp14:editId="266D0E77">
            <wp:extent cx="4743450" cy="3267075"/>
            <wp:effectExtent l="0" t="0" r="0" b="9525"/>
            <wp:docPr id="1732151115" name="Bildobjekt 1" descr="En bild som visar karta, text, kartbok, diagram&#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51115" name="Bildobjekt 1" descr="En bild som visar karta, text, kartbok, diagram&#10;&#10;AI-genererat innehåll kan vara felaktigt."/>
                    <pic:cNvPicPr/>
                  </pic:nvPicPr>
                  <pic:blipFill>
                    <a:blip r:embed="rId19"/>
                    <a:stretch>
                      <a:fillRect/>
                    </a:stretch>
                  </pic:blipFill>
                  <pic:spPr>
                    <a:xfrm>
                      <a:off x="0" y="0"/>
                      <a:ext cx="4743450" cy="3267075"/>
                    </a:xfrm>
                    <a:prstGeom prst="rect">
                      <a:avLst/>
                    </a:prstGeom>
                  </pic:spPr>
                </pic:pic>
              </a:graphicData>
            </a:graphic>
          </wp:inline>
        </w:drawing>
      </w:r>
    </w:p>
    <w:p w14:paraId="73017EA8" w14:textId="77777777" w:rsidR="003E1302" w:rsidRPr="003E1302" w:rsidRDefault="003E1302" w:rsidP="002414FA">
      <w:pPr>
        <w:pStyle w:val="Akapitzlist"/>
        <w:ind w:left="1090"/>
        <w:jc w:val="both"/>
      </w:pPr>
    </w:p>
    <w:p w14:paraId="665B6060" w14:textId="7F5908F9" w:rsidR="00162572" w:rsidRPr="002414FA" w:rsidRDefault="00162572" w:rsidP="00162572">
      <w:pPr>
        <w:pStyle w:val="Akapitzlist"/>
        <w:ind w:left="1090"/>
        <w:jc w:val="both"/>
        <w:rPr>
          <w:sz w:val="20"/>
          <w:szCs w:val="20"/>
        </w:rPr>
      </w:pPr>
      <w:r w:rsidRPr="002414FA">
        <w:rPr>
          <w:b/>
          <w:bCs/>
          <w:sz w:val="20"/>
          <w:szCs w:val="20"/>
        </w:rPr>
        <w:t>Figure 5.</w:t>
      </w:r>
      <w:r w:rsidRPr="002414FA">
        <w:rPr>
          <w:sz w:val="20"/>
          <w:szCs w:val="20"/>
        </w:rPr>
        <w:t xml:space="preserve"> Map of </w:t>
      </w:r>
      <w:proofErr w:type="spellStart"/>
      <w:r w:rsidRPr="002414FA">
        <w:rPr>
          <w:sz w:val="20"/>
          <w:szCs w:val="20"/>
        </w:rPr>
        <w:t>Achterwasser.</w:t>
      </w:r>
      <w:r w:rsidR="008B7932">
        <w:rPr>
          <w:sz w:val="20"/>
          <w:szCs w:val="20"/>
        </w:rPr>
        <w:t>and</w:t>
      </w:r>
      <w:proofErr w:type="spellEnd"/>
      <w:r w:rsidR="008B7932">
        <w:rPr>
          <w:sz w:val="20"/>
          <w:szCs w:val="20"/>
        </w:rPr>
        <w:t xml:space="preserve"> </w:t>
      </w:r>
      <w:proofErr w:type="spellStart"/>
      <w:r w:rsidR="008B7932" w:rsidRPr="002414FA">
        <w:rPr>
          <w:sz w:val="20"/>
          <w:szCs w:val="20"/>
        </w:rPr>
        <w:t>Stettiner</w:t>
      </w:r>
      <w:proofErr w:type="spellEnd"/>
      <w:r w:rsidR="008B7932" w:rsidRPr="002414FA">
        <w:rPr>
          <w:sz w:val="20"/>
          <w:szCs w:val="20"/>
        </w:rPr>
        <w:t xml:space="preserve"> Haff</w:t>
      </w:r>
      <w:r w:rsidR="008B7932">
        <w:rPr>
          <w:sz w:val="20"/>
          <w:szCs w:val="20"/>
        </w:rPr>
        <w:t>.</w:t>
      </w:r>
    </w:p>
    <w:p w14:paraId="06AC684B" w14:textId="77777777" w:rsidR="00483282" w:rsidRDefault="00483282" w:rsidP="00483282">
      <w:pPr>
        <w:pStyle w:val="Akapitzlist"/>
        <w:ind w:left="1090"/>
        <w:jc w:val="both"/>
      </w:pPr>
    </w:p>
    <w:p w14:paraId="7D574EB8" w14:textId="4D0B311E" w:rsidR="002414FA" w:rsidRPr="008B7932" w:rsidRDefault="002414FA" w:rsidP="002414FA">
      <w:pPr>
        <w:pStyle w:val="Akapitzlist"/>
        <w:ind w:left="1090"/>
        <w:jc w:val="both"/>
      </w:pPr>
    </w:p>
    <w:p w14:paraId="1A604730" w14:textId="08519924" w:rsidR="00CF4871" w:rsidRPr="00CF4871" w:rsidRDefault="00CF4871" w:rsidP="00E63F6B">
      <w:pPr>
        <w:ind w:left="360"/>
        <w:jc w:val="both"/>
      </w:pPr>
      <w:r w:rsidRPr="00AA3BFF">
        <w:t>[Placeholder to</w:t>
      </w:r>
      <w:r w:rsidR="00744F12" w:rsidRPr="00AA3BFF">
        <w:t xml:space="preserve"> include drafting concerning the monitoring of this measure and regular reporting within </w:t>
      </w:r>
      <w:proofErr w:type="spellStart"/>
      <w:r w:rsidR="00744F12" w:rsidRPr="00AA3BFF">
        <w:t>Baltifsh</w:t>
      </w:r>
      <w:proofErr w:type="spellEnd"/>
      <w:r w:rsidRPr="00AA3BFF">
        <w:t>.]</w:t>
      </w:r>
    </w:p>
    <w:p w14:paraId="2B2F3F25" w14:textId="77777777" w:rsidR="00CF4871" w:rsidRPr="00CF4871" w:rsidRDefault="00CF4871" w:rsidP="00CF4871">
      <w:pPr>
        <w:jc w:val="both"/>
        <w:rPr>
          <w:sz w:val="20"/>
          <w:szCs w:val="20"/>
        </w:rPr>
      </w:pPr>
    </w:p>
    <w:p w14:paraId="7A11B99C" w14:textId="7B5A8CE8" w:rsidR="00830559" w:rsidRDefault="00830559" w:rsidP="00830559">
      <w:pPr>
        <w:pStyle w:val="Nagwek2"/>
        <w:numPr>
          <w:ilvl w:val="0"/>
          <w:numId w:val="20"/>
        </w:numPr>
      </w:pPr>
      <w:r>
        <w:t>References</w:t>
      </w:r>
    </w:p>
    <w:p w14:paraId="0D414F03" w14:textId="3DA5732B" w:rsidR="00F4769C" w:rsidRDefault="00F4769C" w:rsidP="001F4ADE">
      <w:pPr>
        <w:ind w:left="360"/>
        <w:rPr>
          <w:lang w:val="en-US"/>
        </w:rPr>
      </w:pPr>
      <w:r>
        <w:rPr>
          <w:lang w:val="en-US"/>
        </w:rPr>
        <w:t>ASCOBANS, 2016.</w:t>
      </w:r>
      <w:r w:rsidRPr="00F4769C">
        <w:t xml:space="preserve"> </w:t>
      </w:r>
      <w:r w:rsidRPr="00F4769C">
        <w:rPr>
          <w:lang w:val="en-US"/>
        </w:rPr>
        <w:t xml:space="preserve">ASCOBANS Recovery Plan for Baltic Harbour Porpoises: </w:t>
      </w:r>
      <w:proofErr w:type="spellStart"/>
      <w:r w:rsidRPr="00F4769C">
        <w:rPr>
          <w:lang w:val="en-US"/>
        </w:rPr>
        <w:t>Jastarnia</w:t>
      </w:r>
      <w:proofErr w:type="spellEnd"/>
      <w:r w:rsidRPr="00F4769C">
        <w:rPr>
          <w:lang w:val="en-US"/>
        </w:rPr>
        <w:t xml:space="preserve"> Plan</w:t>
      </w:r>
      <w:r>
        <w:rPr>
          <w:lang w:val="en-US"/>
        </w:rPr>
        <w:t xml:space="preserve"> </w:t>
      </w:r>
      <w:r w:rsidRPr="00F4769C">
        <w:rPr>
          <w:lang w:val="en-US"/>
        </w:rPr>
        <w:t xml:space="preserve">(2016 Revision). Agreement on the Conservation of Small Cetaceans in the Baltic, </w:t>
      </w:r>
      <w:proofErr w:type="gramStart"/>
      <w:r w:rsidRPr="00F4769C">
        <w:rPr>
          <w:lang w:val="en-US"/>
        </w:rPr>
        <w:t>North East</w:t>
      </w:r>
      <w:proofErr w:type="gramEnd"/>
      <w:r>
        <w:rPr>
          <w:lang w:val="en-US"/>
        </w:rPr>
        <w:t xml:space="preserve"> </w:t>
      </w:r>
      <w:r w:rsidRPr="00F4769C">
        <w:rPr>
          <w:lang w:val="en-US"/>
        </w:rPr>
        <w:t>Atlantic, Irish and North Seas.</w:t>
      </w:r>
      <w:r>
        <w:rPr>
          <w:lang w:val="en-US"/>
        </w:rPr>
        <w:t xml:space="preserve"> </w:t>
      </w:r>
    </w:p>
    <w:p w14:paraId="15BA07A9" w14:textId="46DB7E24" w:rsidR="00F4769C" w:rsidRDefault="00F4769C" w:rsidP="001F4ADE">
      <w:pPr>
        <w:ind w:left="360"/>
        <w:rPr>
          <w:lang w:val="en-US"/>
        </w:rPr>
      </w:pPr>
      <w:r>
        <w:rPr>
          <w:lang w:val="en-US"/>
        </w:rPr>
        <w:t>ASCOBANS, 2020. Resolution 9.2</w:t>
      </w:r>
      <w:r w:rsidR="004C7A0C">
        <w:rPr>
          <w:lang w:val="en-US"/>
        </w:rPr>
        <w:t xml:space="preserve">, </w:t>
      </w:r>
      <w:r>
        <w:rPr>
          <w:lang w:val="en-US"/>
        </w:rPr>
        <w:t>The Baltic Proper Harbour Porpoise</w:t>
      </w:r>
      <w:r w:rsidR="004C7A0C">
        <w:rPr>
          <w:lang w:val="en-US"/>
        </w:rPr>
        <w:t>, 23 September 2020.</w:t>
      </w:r>
    </w:p>
    <w:p w14:paraId="6D830058" w14:textId="3585D851" w:rsidR="007B5B71" w:rsidRDefault="007B5B71" w:rsidP="001F4ADE">
      <w:pPr>
        <w:ind w:left="360"/>
        <w:rPr>
          <w:lang w:val="en-US"/>
        </w:rPr>
      </w:pPr>
      <w:proofErr w:type="spellStart"/>
      <w:r w:rsidRPr="007B5B71">
        <w:rPr>
          <w:lang w:val="en-US"/>
        </w:rPr>
        <w:t>Carlén</w:t>
      </w:r>
      <w:proofErr w:type="spellEnd"/>
      <w:r w:rsidRPr="007B5B71">
        <w:rPr>
          <w:lang w:val="en-US"/>
        </w:rPr>
        <w:t xml:space="preserve"> I, Thomas L, </w:t>
      </w:r>
      <w:proofErr w:type="spellStart"/>
      <w:r w:rsidRPr="007B5B71">
        <w:rPr>
          <w:lang w:val="en-US"/>
        </w:rPr>
        <w:t>Carlström</w:t>
      </w:r>
      <w:proofErr w:type="spellEnd"/>
      <w:r w:rsidRPr="007B5B71">
        <w:rPr>
          <w:lang w:val="en-US"/>
        </w:rPr>
        <w:t xml:space="preserve"> J, Amundin M, Teilmann J, Tregenza N, Tougaard J, Koblitz JC, Sveegaard S, Wennerberg Det al. (2018) Basin-scale distribution of harbour porpoises in the Baltic Sea provides basis for effective conservation actions. Biol. </w:t>
      </w:r>
      <w:proofErr w:type="spellStart"/>
      <w:r w:rsidRPr="007B5B71">
        <w:rPr>
          <w:lang w:val="en-US"/>
        </w:rPr>
        <w:t>Conserv</w:t>
      </w:r>
      <w:proofErr w:type="spellEnd"/>
      <w:r w:rsidRPr="007B5B71">
        <w:rPr>
          <w:lang w:val="en-US"/>
        </w:rPr>
        <w:t xml:space="preserve">. 226: 42–53. </w:t>
      </w:r>
      <w:hyperlink>
        <w:r w:rsidRPr="007B5B71">
          <w:rPr>
            <w:lang w:val="en-US"/>
          </w:rPr>
          <w:t>https://doi.org/10.1016/j.biocon.2018.06.031</w:t>
        </w:r>
      </w:hyperlink>
      <w:r w:rsidR="00CD1A2E">
        <w:rPr>
          <w:lang w:val="en-US"/>
        </w:rPr>
        <w:t xml:space="preserve"> </w:t>
      </w:r>
    </w:p>
    <w:p w14:paraId="73ED3962" w14:textId="22B84E3E" w:rsidR="006572CE" w:rsidRDefault="006572CE" w:rsidP="001F4ADE">
      <w:pPr>
        <w:ind w:left="360"/>
        <w:rPr>
          <w:lang w:val="en-US"/>
        </w:rPr>
      </w:pPr>
      <w:r>
        <w:rPr>
          <w:lang w:val="en-US"/>
        </w:rPr>
        <w:t xml:space="preserve">DTU A, 2024. </w:t>
      </w:r>
      <w:r w:rsidRPr="006572CE">
        <w:rPr>
          <w:lang w:val="en-US"/>
        </w:rPr>
        <w:t>Mitigation methods to reduce bycatch of harbour porpoises (</w:t>
      </w:r>
      <w:r w:rsidRPr="006572CE">
        <w:rPr>
          <w:i/>
          <w:iCs/>
          <w:lang w:val="en-US"/>
        </w:rPr>
        <w:t xml:space="preserve">Phocoena </w:t>
      </w:r>
      <w:proofErr w:type="spellStart"/>
      <w:r w:rsidRPr="006572CE">
        <w:rPr>
          <w:i/>
          <w:iCs/>
          <w:lang w:val="en-US"/>
        </w:rPr>
        <w:t>phocoena</w:t>
      </w:r>
      <w:proofErr w:type="spellEnd"/>
      <w:r w:rsidRPr="006572CE">
        <w:rPr>
          <w:lang w:val="en-US"/>
        </w:rPr>
        <w:t>)</w:t>
      </w:r>
      <w:r>
        <w:rPr>
          <w:lang w:val="en-US"/>
        </w:rPr>
        <w:t xml:space="preserve">. Note to BALTFISH, 14 </w:t>
      </w:r>
      <w:proofErr w:type="gramStart"/>
      <w:r>
        <w:rPr>
          <w:lang w:val="en-US"/>
        </w:rPr>
        <w:t>march</w:t>
      </w:r>
      <w:proofErr w:type="gramEnd"/>
      <w:r>
        <w:rPr>
          <w:lang w:val="en-US"/>
        </w:rPr>
        <w:t xml:space="preserve"> 2024.</w:t>
      </w:r>
    </w:p>
    <w:p w14:paraId="4426ED77" w14:textId="0064A3D9" w:rsidR="004C7A0C" w:rsidRDefault="004C7A0C" w:rsidP="001F4ADE">
      <w:pPr>
        <w:ind w:left="360"/>
        <w:rPr>
          <w:lang w:val="en-US"/>
        </w:rPr>
      </w:pPr>
      <w:r w:rsidRPr="004C7A0C">
        <w:rPr>
          <w:lang w:val="en-US"/>
        </w:rPr>
        <w:t>FAO, 2018. Report of the expert workshop on means and methods for reducing marine mammal mortality in fishing and aquaculture operations, Rome, 20-23 March 2018.</w:t>
      </w:r>
    </w:p>
    <w:p w14:paraId="2FEE7215" w14:textId="2AFE9C87" w:rsidR="00DF5A7E" w:rsidRDefault="00DF5A7E" w:rsidP="001F4ADE">
      <w:pPr>
        <w:ind w:left="360"/>
        <w:rPr>
          <w:lang w:val="en-US"/>
        </w:rPr>
      </w:pPr>
      <w:r w:rsidRPr="00DF5A7E">
        <w:rPr>
          <w:lang w:val="en-US"/>
        </w:rPr>
        <w:t>ICES. 2019. Working Group on Marine Mammal Ecology (WGMME). ICES Scientific Reports. 1:22. 131 pp. http://doi.org/10.17895/ices.pub.4980</w:t>
      </w:r>
    </w:p>
    <w:p w14:paraId="4312E4F5" w14:textId="77777777" w:rsidR="004C7A0C" w:rsidRPr="004C7A0C" w:rsidRDefault="004C7A0C" w:rsidP="001F4ADE">
      <w:pPr>
        <w:ind w:left="360"/>
        <w:rPr>
          <w:lang w:val="en-US"/>
        </w:rPr>
      </w:pPr>
      <w:r w:rsidRPr="004C7A0C">
        <w:rPr>
          <w:lang w:val="en-US"/>
        </w:rPr>
        <w:lastRenderedPageBreak/>
        <w:t xml:space="preserve">ICES, 2020a. Special Request Advice of 26 May 2020 on EU request on emergency measures to prevent bycatch of common dolphin (Delphinus </w:t>
      </w:r>
      <w:proofErr w:type="spellStart"/>
      <w:r w:rsidRPr="004C7A0C">
        <w:rPr>
          <w:lang w:val="en-US"/>
        </w:rPr>
        <w:t>delphis</w:t>
      </w:r>
      <w:proofErr w:type="spellEnd"/>
      <w:r w:rsidRPr="004C7A0C">
        <w:rPr>
          <w:lang w:val="en-US"/>
        </w:rPr>
        <w:t>) and Baltic Proper harbour porpoise (</w:t>
      </w:r>
      <w:r w:rsidRPr="00AF063D">
        <w:rPr>
          <w:i/>
          <w:iCs/>
          <w:lang w:val="en-US"/>
        </w:rPr>
        <w:t xml:space="preserve">Phocoena </w:t>
      </w:r>
      <w:proofErr w:type="spellStart"/>
      <w:r w:rsidRPr="00AF063D">
        <w:rPr>
          <w:i/>
          <w:iCs/>
          <w:lang w:val="en-US"/>
        </w:rPr>
        <w:t>phocoena</w:t>
      </w:r>
      <w:proofErr w:type="spellEnd"/>
      <w:r w:rsidRPr="004C7A0C">
        <w:rPr>
          <w:lang w:val="en-US"/>
        </w:rPr>
        <w:t>) in the Northeast Atlantic.</w:t>
      </w:r>
    </w:p>
    <w:p w14:paraId="6C021606" w14:textId="46E67673" w:rsidR="004C7A0C" w:rsidRDefault="004C7A0C" w:rsidP="001F4ADE">
      <w:pPr>
        <w:ind w:left="360"/>
        <w:rPr>
          <w:lang w:val="en-US"/>
        </w:rPr>
      </w:pPr>
      <w:r w:rsidRPr="004C7A0C">
        <w:rPr>
          <w:lang w:val="en-US"/>
        </w:rPr>
        <w:t xml:space="preserve">ICES, 2020b. Report on workshop on Fisheries emergency measures to minimise bycatch of </w:t>
      </w:r>
      <w:proofErr w:type="spellStart"/>
      <w:r w:rsidRPr="004C7A0C">
        <w:rPr>
          <w:lang w:val="en-US"/>
        </w:rPr>
        <w:t>shortbeaked</w:t>
      </w:r>
      <w:proofErr w:type="spellEnd"/>
      <w:r w:rsidRPr="004C7A0C">
        <w:rPr>
          <w:lang w:val="en-US"/>
        </w:rPr>
        <w:t xml:space="preserve"> common dolphins in the bay of </w:t>
      </w:r>
      <w:proofErr w:type="spellStart"/>
      <w:r w:rsidRPr="004C7A0C">
        <w:rPr>
          <w:lang w:val="en-US"/>
        </w:rPr>
        <w:t>Biskay</w:t>
      </w:r>
      <w:proofErr w:type="spellEnd"/>
      <w:r w:rsidRPr="004C7A0C">
        <w:rPr>
          <w:lang w:val="en-US"/>
        </w:rPr>
        <w:t xml:space="preserve"> and harbour porpoise in the Baltic Sea.</w:t>
      </w:r>
    </w:p>
    <w:p w14:paraId="6DA96352" w14:textId="55C60F4A" w:rsidR="003210E9" w:rsidRDefault="003210E9" w:rsidP="001F4ADE">
      <w:pPr>
        <w:ind w:left="360"/>
        <w:rPr>
          <w:lang w:val="en-US"/>
        </w:rPr>
      </w:pPr>
      <w:r w:rsidRPr="003210E9">
        <w:rPr>
          <w:lang w:val="en-US"/>
        </w:rPr>
        <w:t xml:space="preserve">ICES, 2024a. EU </w:t>
      </w:r>
      <w:proofErr w:type="gramStart"/>
      <w:r w:rsidRPr="003210E9">
        <w:rPr>
          <w:lang w:val="en-US"/>
        </w:rPr>
        <w:t>request</w:t>
      </w:r>
      <w:proofErr w:type="gramEnd"/>
      <w:r w:rsidRPr="003210E9">
        <w:rPr>
          <w:lang w:val="en-US"/>
        </w:rPr>
        <w:t xml:space="preserve"> on alternative measures to prevent </w:t>
      </w:r>
      <w:proofErr w:type="gramStart"/>
      <w:r w:rsidRPr="003210E9">
        <w:rPr>
          <w:lang w:val="en-US"/>
        </w:rPr>
        <w:t>bycatch of</w:t>
      </w:r>
      <w:proofErr w:type="gramEnd"/>
      <w:r w:rsidRPr="003210E9">
        <w:rPr>
          <w:lang w:val="en-US"/>
        </w:rPr>
        <w:t xml:space="preserve"> the harbour porpoise (</w:t>
      </w:r>
      <w:r w:rsidRPr="00AF063D">
        <w:rPr>
          <w:i/>
          <w:iCs/>
          <w:lang w:val="en-US"/>
        </w:rPr>
        <w:t xml:space="preserve">Phocoena </w:t>
      </w:r>
      <w:proofErr w:type="spellStart"/>
      <w:r w:rsidRPr="00AF063D">
        <w:rPr>
          <w:i/>
          <w:iCs/>
          <w:lang w:val="en-US"/>
        </w:rPr>
        <w:t>phocoena</w:t>
      </w:r>
      <w:proofErr w:type="spellEnd"/>
      <w:r w:rsidRPr="003210E9">
        <w:rPr>
          <w:lang w:val="en-US"/>
        </w:rPr>
        <w:t xml:space="preserve">) in the Baltic Sea. In Report of the ICES Advisory Committee, 2024. ICES Advice 2024, sr.2024.12. </w:t>
      </w:r>
      <w:hyperlink r:id="rId20" w:history="1">
        <w:r w:rsidRPr="009879A3">
          <w:rPr>
            <w:rStyle w:val="Hipercze"/>
            <w:lang w:val="en-US"/>
          </w:rPr>
          <w:t>https://doi.org/10.17895/ices.advice.26868907</w:t>
        </w:r>
      </w:hyperlink>
    </w:p>
    <w:p w14:paraId="4DC6587C" w14:textId="5E90A226" w:rsidR="001F4ADE" w:rsidRPr="001F4ADE" w:rsidRDefault="001F4ADE" w:rsidP="001F4ADE">
      <w:pPr>
        <w:ind w:left="360"/>
        <w:rPr>
          <w:lang w:val="en-US"/>
        </w:rPr>
      </w:pPr>
      <w:r w:rsidRPr="001F4ADE">
        <w:rPr>
          <w:lang w:val="en-US"/>
        </w:rPr>
        <w:t xml:space="preserve">ICES, 2024b. Bycatch of endangered, threatened and protected species of marine mammals, seabirds and marine turtles, and selected fish species of bycatch relevance. In Report of the ICES Advisory Committee, 2024. ICES Advice 2024, byc.eu. https://doi.org/10.17895/ices.advice.27999401 </w:t>
      </w:r>
    </w:p>
    <w:p w14:paraId="1D93A6C7" w14:textId="2AFC1401" w:rsidR="00053DEE" w:rsidRDefault="00053DEE" w:rsidP="001F4ADE">
      <w:pPr>
        <w:ind w:left="360"/>
        <w:rPr>
          <w:lang w:val="en-US"/>
        </w:rPr>
      </w:pPr>
      <w:r>
        <w:rPr>
          <w:lang w:val="en-US"/>
        </w:rPr>
        <w:t xml:space="preserve">ICES, 2025.Support for the implementation of the Action Plan for Harbour porpoise in the Baltic Sea (Baltic Proper). Replacing advice provided in December 2024. </w:t>
      </w:r>
      <w:r w:rsidRPr="00053DEE">
        <w:rPr>
          <w:i/>
          <w:lang w:val="en-US"/>
        </w:rPr>
        <w:t xml:space="preserve">In </w:t>
      </w:r>
      <w:r>
        <w:rPr>
          <w:lang w:val="en-US"/>
        </w:rPr>
        <w:t>report of the ICES Advisory Committee, 2025. ICES advice2025, sr.</w:t>
      </w:r>
      <w:proofErr w:type="gramStart"/>
      <w:r>
        <w:rPr>
          <w:lang w:val="en-US"/>
        </w:rPr>
        <w:t>2024.20</w:t>
      </w:r>
      <w:proofErr w:type="gramEnd"/>
      <w:r>
        <w:rPr>
          <w:lang w:val="en-US"/>
        </w:rPr>
        <w:t xml:space="preserve">. </w:t>
      </w:r>
      <w:r w:rsidRPr="00053DEE">
        <w:rPr>
          <w:lang w:val="en-US"/>
        </w:rPr>
        <w:t>https://doi.org/10.17895/ices.advice.28616360</w:t>
      </w:r>
    </w:p>
    <w:p w14:paraId="3118D894" w14:textId="0A1C8218" w:rsidR="004C7A0C" w:rsidRDefault="00F4769C" w:rsidP="001F4ADE">
      <w:pPr>
        <w:ind w:left="360"/>
        <w:rPr>
          <w:lang w:val="en-US"/>
        </w:rPr>
      </w:pPr>
      <w:r>
        <w:rPr>
          <w:lang w:val="en-US"/>
        </w:rPr>
        <w:t>NAMMCO, 2019.</w:t>
      </w:r>
      <w:r w:rsidRPr="00F4769C">
        <w:rPr>
          <w:lang w:val="en-US"/>
        </w:rPr>
        <w:t xml:space="preserve"> North Atlantic Marine Mammal Commission and the Norwegian Institute of Marine Research. Report </w:t>
      </w:r>
      <w:proofErr w:type="gramStart"/>
      <w:r w:rsidRPr="00F4769C">
        <w:rPr>
          <w:lang w:val="en-US"/>
        </w:rPr>
        <w:t>of</w:t>
      </w:r>
      <w:proofErr w:type="gramEnd"/>
      <w:r w:rsidRPr="00F4769C">
        <w:rPr>
          <w:lang w:val="en-US"/>
        </w:rPr>
        <w:t xml:space="preserve"> Joint IMR. In NAMMCO International Workshop on the Status of Harbour Porpoises in the North Atlantic. Tromsø, Norway.</w:t>
      </w:r>
    </w:p>
    <w:p w14:paraId="4F52C319" w14:textId="1E3303F8" w:rsidR="00D46D52" w:rsidRPr="00F4769C" w:rsidRDefault="004C7A0C" w:rsidP="001F4ADE">
      <w:pPr>
        <w:ind w:left="360"/>
      </w:pPr>
      <w:r w:rsidRPr="004C7A0C">
        <w:t>SAMBAH, 2016. Final report for LIFE+ project SAMBAH LIFE08 NAT/S/000261 covering the project activities from 01/01/2010 to 30/09/2015. Reporting date 29/02/2016.</w:t>
      </w:r>
    </w:p>
    <w:sectPr w:rsidR="00D46D52" w:rsidRPr="00F4769C" w:rsidSect="00D731F4">
      <w:headerReference w:type="even" r:id="rId21"/>
      <w:headerReference w:type="default" r:id="rId22"/>
      <w:headerReference w:type="first" r:id="rId23"/>
      <w:type w:val="continuous"/>
      <w:pgSz w:w="11906" w:h="16838"/>
      <w:pgMar w:top="1150" w:right="1417" w:bottom="1417" w:left="1417" w:header="69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5FB22" w14:textId="77777777" w:rsidR="00FB225B" w:rsidRDefault="00FB225B" w:rsidP="00ED6C6F">
      <w:pPr>
        <w:spacing w:after="0" w:line="240" w:lineRule="auto"/>
      </w:pPr>
      <w:r>
        <w:separator/>
      </w:r>
    </w:p>
  </w:endnote>
  <w:endnote w:type="continuationSeparator" w:id="0">
    <w:p w14:paraId="2197EC7B" w14:textId="77777777" w:rsidR="00FB225B" w:rsidRDefault="00FB225B" w:rsidP="00ED6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1A075" w14:textId="77777777" w:rsidR="00FB225B" w:rsidRDefault="00FB225B" w:rsidP="00ED6C6F">
      <w:pPr>
        <w:spacing w:after="0" w:line="240" w:lineRule="auto"/>
      </w:pPr>
      <w:r>
        <w:separator/>
      </w:r>
    </w:p>
  </w:footnote>
  <w:footnote w:type="continuationSeparator" w:id="0">
    <w:p w14:paraId="35F6AD9E" w14:textId="77777777" w:rsidR="00FB225B" w:rsidRDefault="00FB225B" w:rsidP="00ED6C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A0F6B" w14:textId="32C78660" w:rsidR="00777087" w:rsidRDefault="00000000">
    <w:pPr>
      <w:pStyle w:val="Nagwek"/>
    </w:pPr>
    <w:r>
      <w:rPr>
        <w:noProof/>
      </w:rPr>
      <w:pict w14:anchorId="0F72663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47" o:spid="_x0000_s1026" type="#_x0000_t136" style="position:absolute;left:0;text-align:left;margin-left:0;margin-top:0;width:456.8pt;height:182.7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C575F" w14:textId="4D9F8BB7" w:rsidR="005230B8" w:rsidRPr="00DF19B1" w:rsidRDefault="00000000" w:rsidP="005230B8">
    <w:pPr>
      <w:pStyle w:val="Nagwek"/>
      <w:ind w:right="420"/>
    </w:pPr>
    <w:r>
      <w:rPr>
        <w:noProof/>
      </w:rPr>
      <w:pict w14:anchorId="60B9A9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48" o:spid="_x0000_s1027" type="#_x0000_t136" style="position:absolute;left:0;text-align:left;margin-left:0;margin-top:0;width:456.8pt;height:182.7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91E2E" w14:textId="77777777" w:rsidR="00D51D11" w:rsidRDefault="00D51D11">
    <w:pPr>
      <w:pStyle w:val="Nagwek"/>
    </w:pPr>
  </w:p>
  <w:p w14:paraId="70A557A8" w14:textId="5C5FF0FE" w:rsidR="00777087" w:rsidRPr="00D51D11" w:rsidRDefault="00D51D11">
    <w:pPr>
      <w:pStyle w:val="Nagwek"/>
      <w:rPr>
        <w:lang w:val="sv-SE"/>
      </w:rPr>
    </w:pPr>
    <w:r>
      <w:t>Draft version 1.</w:t>
    </w:r>
    <w:r w:rsidR="00F954D6">
      <w:t>4</w:t>
    </w:r>
    <w:r>
      <w:ptab w:relativeTo="margin" w:alignment="center" w:leader="none"/>
    </w:r>
    <w:r>
      <w:ptab w:relativeTo="margin" w:alignment="right" w:leader="none"/>
    </w:r>
    <w:r w:rsidR="00000000">
      <w:rPr>
        <w:noProof/>
      </w:rPr>
      <w:pict w14:anchorId="18F3150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46" o:spid="_x0000_s1025" type="#_x0000_t136" style="position:absolute;left:0;text-align:left;margin-left:0;margin-top:0;width:456.8pt;height:182.7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r w:rsidR="00396367">
      <w:t>202</w:t>
    </w:r>
    <w:r w:rsidR="00AF063D">
      <w:t>6-0</w:t>
    </w:r>
    <w:r w:rsidR="00F954D6">
      <w:t>4-2</w:t>
    </w:r>
    <w:r w:rsidR="00DE75E3">
      <w:t>8</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1C960" w14:textId="5B66C92E" w:rsidR="000240FE" w:rsidRDefault="00000000">
    <w:pPr>
      <w:pStyle w:val="Nagwek"/>
    </w:pPr>
    <w:r>
      <w:rPr>
        <w:noProof/>
      </w:rPr>
      <w:pict w14:anchorId="298481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50" o:spid="_x0000_s1029" type="#_x0000_t136" style="position:absolute;left:0;text-align:left;margin-left:0;margin-top:0;width:456.8pt;height:182.7pt;rotation:315;z-index:-25164902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FD686" w14:textId="57AB427F" w:rsidR="005230B8" w:rsidRPr="00852827" w:rsidRDefault="00000000" w:rsidP="00852827">
    <w:pPr>
      <w:pStyle w:val="Nagwek"/>
    </w:pPr>
    <w:r>
      <w:rPr>
        <w:noProof/>
      </w:rPr>
      <w:pict w14:anchorId="19B09C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51" o:spid="_x0000_s1030" type="#_x0000_t136" style="position:absolute;left:0;text-align:left;margin-left:0;margin-top:0;width:456.8pt;height:182.7pt;rotation:315;z-index:-25164697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r w:rsidR="00852827">
      <w:rPr>
        <w:rStyle w:val="Numerstrony"/>
      </w:rPr>
      <w:fldChar w:fldCharType="begin"/>
    </w:r>
    <w:r w:rsidR="00852827">
      <w:rPr>
        <w:rStyle w:val="Numerstrony"/>
      </w:rPr>
      <w:instrText xml:space="preserve">PAGE </w:instrText>
    </w:r>
    <w:r w:rsidR="00852827">
      <w:rPr>
        <w:rStyle w:val="Numerstrony"/>
      </w:rPr>
      <w:fldChar w:fldCharType="separate"/>
    </w:r>
    <w:r w:rsidR="009914D4">
      <w:rPr>
        <w:rStyle w:val="Numerstrony"/>
        <w:noProof/>
      </w:rPr>
      <w:t>2</w:t>
    </w:r>
    <w:r w:rsidR="00852827">
      <w:rPr>
        <w:rStyle w:val="Numerstrony"/>
      </w:rPr>
      <w:fldChar w:fldCharType="end"/>
    </w:r>
    <w:r w:rsidR="00852827">
      <w:rPr>
        <w:rStyle w:val="Numerstrony"/>
      </w:rPr>
      <w:t>/</w:t>
    </w:r>
    <w:r w:rsidR="00852827">
      <w:rPr>
        <w:rStyle w:val="Numerstrony"/>
      </w:rPr>
      <w:fldChar w:fldCharType="begin"/>
    </w:r>
    <w:r w:rsidR="00852827">
      <w:rPr>
        <w:rStyle w:val="Numerstrony"/>
      </w:rPr>
      <w:instrText xml:space="preserve"> NUMPAGES </w:instrText>
    </w:r>
    <w:r w:rsidR="00852827">
      <w:rPr>
        <w:rStyle w:val="Numerstrony"/>
      </w:rPr>
      <w:fldChar w:fldCharType="separate"/>
    </w:r>
    <w:r w:rsidR="009914D4">
      <w:rPr>
        <w:rStyle w:val="Numerstrony"/>
        <w:noProof/>
      </w:rPr>
      <w:t>11</w:t>
    </w:r>
    <w:r w:rsidR="00852827">
      <w:rPr>
        <w:rStyle w:val="Numerstrony"/>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5CDA2" w14:textId="0447C868" w:rsidR="000240FE" w:rsidRDefault="00000000">
    <w:pPr>
      <w:pStyle w:val="Nagwek"/>
    </w:pPr>
    <w:r>
      <w:rPr>
        <w:noProof/>
      </w:rPr>
      <w:pict w14:anchorId="7FEB63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17049" o:spid="_x0000_s1028" type="#_x0000_t136" style="position:absolute;left:0;text-align:left;margin-left:0;margin-top:0;width:456.8pt;height:182.7pt;rotation:315;z-index:-25165107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743FF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BB461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1A87E9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21258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246F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C54BB4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556CF5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00613B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0530227A"/>
    <w:multiLevelType w:val="multilevel"/>
    <w:tmpl w:val="B09E4B0E"/>
    <w:lvl w:ilvl="0">
      <w:start w:val="1"/>
      <w:numFmt w:val="bullet"/>
      <w:pStyle w:val="Listapunktowana"/>
      <w:lvlText w:val="•"/>
      <w:lvlJc w:val="left"/>
      <w:pPr>
        <w:ind w:left="360" w:hanging="360"/>
      </w:pPr>
      <w:rPr>
        <w:rFonts w:ascii="Calibri" w:hAnsi="Calibri" w:hint="default"/>
        <w:color w:val="auto"/>
      </w:rPr>
    </w:lvl>
    <w:lvl w:ilvl="1">
      <w:start w:val="1"/>
      <w:numFmt w:val="bullet"/>
      <w:pStyle w:val="Listapunktowana2"/>
      <w:lvlText w:val=""/>
      <w:lvlJc w:val="left"/>
      <w:pPr>
        <w:ind w:left="720" w:hanging="360"/>
      </w:pPr>
      <w:rPr>
        <w:rFonts w:ascii="Symbol" w:hAnsi="Symbol" w:hint="default"/>
        <w:color w:val="auto"/>
      </w:rPr>
    </w:lvl>
    <w:lvl w:ilvl="2">
      <w:start w:val="1"/>
      <w:numFmt w:val="bullet"/>
      <w:pStyle w:val="Listapunktowana3"/>
      <w:lvlText w:val="–"/>
      <w:lvlJc w:val="left"/>
      <w:pPr>
        <w:ind w:left="1080" w:hanging="360"/>
      </w:pPr>
      <w:rPr>
        <w:rFonts w:ascii="Calibri" w:hAnsi="Calibri" w:hint="default"/>
        <w:color w:val="auto"/>
      </w:rPr>
    </w:lvl>
    <w:lvl w:ilvl="3">
      <w:start w:val="1"/>
      <w:numFmt w:val="bullet"/>
      <w:pStyle w:val="Listapunktowana4"/>
      <w:lvlText w:val="•"/>
      <w:lvlJc w:val="left"/>
      <w:pPr>
        <w:ind w:left="1440" w:hanging="360"/>
      </w:pPr>
      <w:rPr>
        <w:rFonts w:ascii="Calibri" w:hAnsi="Calibri" w:hint="default"/>
        <w:color w:val="auto"/>
      </w:rPr>
    </w:lvl>
    <w:lvl w:ilvl="4">
      <w:start w:val="1"/>
      <w:numFmt w:val="bullet"/>
      <w:pStyle w:val="Listapunktowana5"/>
      <w:lvlText w:val="–"/>
      <w:lvlJc w:val="left"/>
      <w:pPr>
        <w:ind w:left="1800" w:hanging="360"/>
      </w:pPr>
      <w:rPr>
        <w:rFonts w:ascii="Calibri" w:hAnsi="Calibri"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Calibri" w:hAnsi="Calibri" w:hint="default"/>
        <w:color w:val="auto"/>
      </w:rPr>
    </w:lvl>
    <w:lvl w:ilvl="7">
      <w:start w:val="1"/>
      <w:numFmt w:val="bullet"/>
      <w:lvlText w:val="•"/>
      <w:lvlJc w:val="left"/>
      <w:pPr>
        <w:ind w:left="2880" w:hanging="360"/>
      </w:pPr>
      <w:rPr>
        <w:rFonts w:ascii="Calibri" w:hAnsi="Calibri" w:hint="default"/>
        <w:color w:val="auto"/>
      </w:rPr>
    </w:lvl>
    <w:lvl w:ilvl="8">
      <w:start w:val="1"/>
      <w:numFmt w:val="bullet"/>
      <w:lvlText w:val=""/>
      <w:lvlJc w:val="left"/>
      <w:pPr>
        <w:ind w:left="3240" w:hanging="360"/>
      </w:pPr>
      <w:rPr>
        <w:rFonts w:ascii="Symbol" w:hAnsi="Symbol" w:hint="default"/>
        <w:color w:val="auto"/>
      </w:rPr>
    </w:lvl>
  </w:abstractNum>
  <w:abstractNum w:abstractNumId="9" w15:restartNumberingAfterBreak="0">
    <w:nsid w:val="05EE1867"/>
    <w:multiLevelType w:val="multilevel"/>
    <w:tmpl w:val="7C2C14C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0B7E0623"/>
    <w:multiLevelType w:val="hybridMultilevel"/>
    <w:tmpl w:val="2690BC3E"/>
    <w:lvl w:ilvl="0" w:tplc="E0106760">
      <w:start w:val="1"/>
      <w:numFmt w:val="bullet"/>
      <w:lvlText w:val=""/>
      <w:lvlJc w:val="left"/>
      <w:pPr>
        <w:ind w:left="720" w:hanging="360"/>
      </w:pPr>
      <w:rPr>
        <w:rFonts w:ascii="Symbol" w:hAnsi="Symbol" w:hint="default"/>
      </w:rPr>
    </w:lvl>
    <w:lvl w:ilvl="1" w:tplc="5486F408" w:tentative="1">
      <w:start w:val="1"/>
      <w:numFmt w:val="bullet"/>
      <w:lvlText w:val="o"/>
      <w:lvlJc w:val="left"/>
      <w:pPr>
        <w:ind w:left="1440" w:hanging="360"/>
      </w:pPr>
      <w:rPr>
        <w:rFonts w:ascii="Courier New" w:hAnsi="Courier New" w:cs="Courier New" w:hint="default"/>
      </w:rPr>
    </w:lvl>
    <w:lvl w:ilvl="2" w:tplc="5ABA2342" w:tentative="1">
      <w:start w:val="1"/>
      <w:numFmt w:val="bullet"/>
      <w:lvlText w:val=""/>
      <w:lvlJc w:val="left"/>
      <w:pPr>
        <w:ind w:left="2160" w:hanging="360"/>
      </w:pPr>
      <w:rPr>
        <w:rFonts w:ascii="Wingdings" w:hAnsi="Wingdings" w:hint="default"/>
      </w:rPr>
    </w:lvl>
    <w:lvl w:ilvl="3" w:tplc="EC08A49C" w:tentative="1">
      <w:start w:val="1"/>
      <w:numFmt w:val="bullet"/>
      <w:lvlText w:val=""/>
      <w:lvlJc w:val="left"/>
      <w:pPr>
        <w:ind w:left="2880" w:hanging="360"/>
      </w:pPr>
      <w:rPr>
        <w:rFonts w:ascii="Symbol" w:hAnsi="Symbol" w:hint="default"/>
      </w:rPr>
    </w:lvl>
    <w:lvl w:ilvl="4" w:tplc="859072D0" w:tentative="1">
      <w:start w:val="1"/>
      <w:numFmt w:val="bullet"/>
      <w:lvlText w:val="o"/>
      <w:lvlJc w:val="left"/>
      <w:pPr>
        <w:ind w:left="3600" w:hanging="360"/>
      </w:pPr>
      <w:rPr>
        <w:rFonts w:ascii="Courier New" w:hAnsi="Courier New" w:cs="Courier New" w:hint="default"/>
      </w:rPr>
    </w:lvl>
    <w:lvl w:ilvl="5" w:tplc="FA16B2C0" w:tentative="1">
      <w:start w:val="1"/>
      <w:numFmt w:val="bullet"/>
      <w:lvlText w:val=""/>
      <w:lvlJc w:val="left"/>
      <w:pPr>
        <w:ind w:left="4320" w:hanging="360"/>
      </w:pPr>
      <w:rPr>
        <w:rFonts w:ascii="Wingdings" w:hAnsi="Wingdings" w:hint="default"/>
      </w:rPr>
    </w:lvl>
    <w:lvl w:ilvl="6" w:tplc="FBB6299E" w:tentative="1">
      <w:start w:val="1"/>
      <w:numFmt w:val="bullet"/>
      <w:lvlText w:val=""/>
      <w:lvlJc w:val="left"/>
      <w:pPr>
        <w:ind w:left="5040" w:hanging="360"/>
      </w:pPr>
      <w:rPr>
        <w:rFonts w:ascii="Symbol" w:hAnsi="Symbol" w:hint="default"/>
      </w:rPr>
    </w:lvl>
    <w:lvl w:ilvl="7" w:tplc="1B6C5A4C" w:tentative="1">
      <w:start w:val="1"/>
      <w:numFmt w:val="bullet"/>
      <w:lvlText w:val="o"/>
      <w:lvlJc w:val="left"/>
      <w:pPr>
        <w:ind w:left="5760" w:hanging="360"/>
      </w:pPr>
      <w:rPr>
        <w:rFonts w:ascii="Courier New" w:hAnsi="Courier New" w:cs="Courier New" w:hint="default"/>
      </w:rPr>
    </w:lvl>
    <w:lvl w:ilvl="8" w:tplc="757CA732" w:tentative="1">
      <w:start w:val="1"/>
      <w:numFmt w:val="bullet"/>
      <w:lvlText w:val=""/>
      <w:lvlJc w:val="left"/>
      <w:pPr>
        <w:ind w:left="6480" w:hanging="360"/>
      </w:pPr>
      <w:rPr>
        <w:rFonts w:ascii="Wingdings" w:hAnsi="Wingdings" w:hint="default"/>
      </w:rPr>
    </w:lvl>
  </w:abstractNum>
  <w:abstractNum w:abstractNumId="11" w15:restartNumberingAfterBreak="0">
    <w:nsid w:val="1A6A1988"/>
    <w:multiLevelType w:val="multilevel"/>
    <w:tmpl w:val="F0101B5A"/>
    <w:lvl w:ilvl="0">
      <w:start w:val="1"/>
      <w:numFmt w:val="decimal"/>
      <w:pStyle w:val="Numreradrubrik1"/>
      <w:lvlText w:val="%1."/>
      <w:lvlJc w:val="left"/>
      <w:pPr>
        <w:ind w:left="851" w:hanging="851"/>
      </w:pPr>
      <w:rPr>
        <w:rFonts w:hint="default"/>
      </w:rPr>
    </w:lvl>
    <w:lvl w:ilvl="1">
      <w:start w:val="1"/>
      <w:numFmt w:val="decimal"/>
      <w:pStyle w:val="Numreradrubrik2"/>
      <w:lvlText w:val="%1.%2"/>
      <w:lvlJc w:val="left"/>
      <w:pPr>
        <w:ind w:left="851" w:hanging="851"/>
      </w:pPr>
      <w:rPr>
        <w:rFonts w:hint="default"/>
      </w:rPr>
    </w:lvl>
    <w:lvl w:ilvl="2">
      <w:start w:val="1"/>
      <w:numFmt w:val="decimal"/>
      <w:pStyle w:val="Numreradrubrik3"/>
      <w:lvlText w:val="%1.%2.%3"/>
      <w:lvlJc w:val="left"/>
      <w:pPr>
        <w:ind w:left="851" w:hanging="851"/>
      </w:pPr>
      <w:rPr>
        <w:rFonts w:hint="default"/>
      </w:rPr>
    </w:lvl>
    <w:lvl w:ilvl="3">
      <w:start w:val="1"/>
      <w:numFmt w:val="decimal"/>
      <w:pStyle w:val="Numreradrubrik4"/>
      <w:lvlText w:val="%1.%2.%3.%4"/>
      <w:lvlJc w:val="left"/>
      <w:pPr>
        <w:ind w:left="851" w:hanging="851"/>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0F50BFC"/>
    <w:multiLevelType w:val="hybridMultilevel"/>
    <w:tmpl w:val="C2108824"/>
    <w:lvl w:ilvl="0" w:tplc="041D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C894358"/>
    <w:multiLevelType w:val="multilevel"/>
    <w:tmpl w:val="7C2C14C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D931293"/>
    <w:multiLevelType w:val="hybridMultilevel"/>
    <w:tmpl w:val="E9CE391A"/>
    <w:lvl w:ilvl="0" w:tplc="693A4520">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start w:val="1"/>
      <w:numFmt w:val="bullet"/>
      <w:lvlText w:val=""/>
      <w:lvlJc w:val="left"/>
      <w:pPr>
        <w:ind w:left="3240" w:hanging="360"/>
      </w:pPr>
      <w:rPr>
        <w:rFonts w:ascii="Symbol" w:hAnsi="Symbol" w:hint="default"/>
      </w:rPr>
    </w:lvl>
    <w:lvl w:ilvl="4" w:tplc="041D0003">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5" w15:restartNumberingAfterBreak="0">
    <w:nsid w:val="37CA713B"/>
    <w:multiLevelType w:val="hybridMultilevel"/>
    <w:tmpl w:val="81AAE922"/>
    <w:lvl w:ilvl="0" w:tplc="BC00FFC2">
      <w:start w:val="1"/>
      <w:numFmt w:val="bullet"/>
      <w:lvlText w:val="-"/>
      <w:lvlJc w:val="left"/>
      <w:pPr>
        <w:ind w:left="1450" w:hanging="360"/>
      </w:pPr>
      <w:rPr>
        <w:rFonts w:ascii="Arial" w:eastAsiaTheme="minorHAnsi" w:hAnsi="Arial" w:cs="Arial" w:hint="default"/>
      </w:rPr>
    </w:lvl>
    <w:lvl w:ilvl="1" w:tplc="041D0003" w:tentative="1">
      <w:start w:val="1"/>
      <w:numFmt w:val="bullet"/>
      <w:lvlText w:val="o"/>
      <w:lvlJc w:val="left"/>
      <w:pPr>
        <w:ind w:left="2170" w:hanging="360"/>
      </w:pPr>
      <w:rPr>
        <w:rFonts w:ascii="Courier New" w:hAnsi="Courier New" w:cs="Courier New" w:hint="default"/>
      </w:rPr>
    </w:lvl>
    <w:lvl w:ilvl="2" w:tplc="041D0005" w:tentative="1">
      <w:start w:val="1"/>
      <w:numFmt w:val="bullet"/>
      <w:lvlText w:val=""/>
      <w:lvlJc w:val="left"/>
      <w:pPr>
        <w:ind w:left="2890" w:hanging="360"/>
      </w:pPr>
      <w:rPr>
        <w:rFonts w:ascii="Wingdings" w:hAnsi="Wingdings" w:hint="default"/>
      </w:rPr>
    </w:lvl>
    <w:lvl w:ilvl="3" w:tplc="041D0001" w:tentative="1">
      <w:start w:val="1"/>
      <w:numFmt w:val="bullet"/>
      <w:lvlText w:val=""/>
      <w:lvlJc w:val="left"/>
      <w:pPr>
        <w:ind w:left="3610" w:hanging="360"/>
      </w:pPr>
      <w:rPr>
        <w:rFonts w:ascii="Symbol" w:hAnsi="Symbol" w:hint="default"/>
      </w:rPr>
    </w:lvl>
    <w:lvl w:ilvl="4" w:tplc="041D0003" w:tentative="1">
      <w:start w:val="1"/>
      <w:numFmt w:val="bullet"/>
      <w:lvlText w:val="o"/>
      <w:lvlJc w:val="left"/>
      <w:pPr>
        <w:ind w:left="4330" w:hanging="360"/>
      </w:pPr>
      <w:rPr>
        <w:rFonts w:ascii="Courier New" w:hAnsi="Courier New" w:cs="Courier New" w:hint="default"/>
      </w:rPr>
    </w:lvl>
    <w:lvl w:ilvl="5" w:tplc="041D0005" w:tentative="1">
      <w:start w:val="1"/>
      <w:numFmt w:val="bullet"/>
      <w:lvlText w:val=""/>
      <w:lvlJc w:val="left"/>
      <w:pPr>
        <w:ind w:left="5050" w:hanging="360"/>
      </w:pPr>
      <w:rPr>
        <w:rFonts w:ascii="Wingdings" w:hAnsi="Wingdings" w:hint="default"/>
      </w:rPr>
    </w:lvl>
    <w:lvl w:ilvl="6" w:tplc="041D0001" w:tentative="1">
      <w:start w:val="1"/>
      <w:numFmt w:val="bullet"/>
      <w:lvlText w:val=""/>
      <w:lvlJc w:val="left"/>
      <w:pPr>
        <w:ind w:left="5770" w:hanging="360"/>
      </w:pPr>
      <w:rPr>
        <w:rFonts w:ascii="Symbol" w:hAnsi="Symbol" w:hint="default"/>
      </w:rPr>
    </w:lvl>
    <w:lvl w:ilvl="7" w:tplc="041D0003" w:tentative="1">
      <w:start w:val="1"/>
      <w:numFmt w:val="bullet"/>
      <w:lvlText w:val="o"/>
      <w:lvlJc w:val="left"/>
      <w:pPr>
        <w:ind w:left="6490" w:hanging="360"/>
      </w:pPr>
      <w:rPr>
        <w:rFonts w:ascii="Courier New" w:hAnsi="Courier New" w:cs="Courier New" w:hint="default"/>
      </w:rPr>
    </w:lvl>
    <w:lvl w:ilvl="8" w:tplc="041D0005" w:tentative="1">
      <w:start w:val="1"/>
      <w:numFmt w:val="bullet"/>
      <w:lvlText w:val=""/>
      <w:lvlJc w:val="left"/>
      <w:pPr>
        <w:ind w:left="7210" w:hanging="360"/>
      </w:pPr>
      <w:rPr>
        <w:rFonts w:ascii="Wingdings" w:hAnsi="Wingdings" w:hint="default"/>
      </w:rPr>
    </w:lvl>
  </w:abstractNum>
  <w:abstractNum w:abstractNumId="16" w15:restartNumberingAfterBreak="0">
    <w:nsid w:val="537D23FB"/>
    <w:multiLevelType w:val="multilevel"/>
    <w:tmpl w:val="899A4BBA"/>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660B701C"/>
    <w:multiLevelType w:val="hybridMultilevel"/>
    <w:tmpl w:val="562EB6C6"/>
    <w:lvl w:ilvl="0" w:tplc="9C32D848">
      <w:start w:val="1"/>
      <w:numFmt w:val="bullet"/>
      <w:lvlText w:val="̶"/>
      <w:lvlJc w:val="left"/>
      <w:pPr>
        <w:ind w:left="1440" w:hanging="360"/>
      </w:pPr>
      <w:rPr>
        <w:rFonts w:ascii="Arial" w:hAnsi="Aria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start w:val="1"/>
      <w:numFmt w:val="bullet"/>
      <w:lvlText w:val=""/>
      <w:lvlJc w:val="left"/>
      <w:pPr>
        <w:ind w:left="3600" w:hanging="360"/>
      </w:pPr>
      <w:rPr>
        <w:rFonts w:ascii="Symbol" w:hAnsi="Symbol" w:hint="default"/>
      </w:rPr>
    </w:lvl>
    <w:lvl w:ilvl="4" w:tplc="041D0003">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8" w15:restartNumberingAfterBreak="0">
    <w:nsid w:val="67881736"/>
    <w:multiLevelType w:val="hybridMultilevel"/>
    <w:tmpl w:val="5A701548"/>
    <w:lvl w:ilvl="0" w:tplc="672A46C4">
      <w:start w:val="1"/>
      <w:numFmt w:val="decimal"/>
      <w:lvlText w:val="%1."/>
      <w:lvlJc w:val="left"/>
      <w:pPr>
        <w:ind w:left="1090" w:hanging="360"/>
      </w:pPr>
      <w:rPr>
        <w:rFonts w:hint="default"/>
      </w:rPr>
    </w:lvl>
    <w:lvl w:ilvl="1" w:tplc="08090019" w:tentative="1">
      <w:start w:val="1"/>
      <w:numFmt w:val="lowerLetter"/>
      <w:lvlText w:val="%2."/>
      <w:lvlJc w:val="left"/>
      <w:pPr>
        <w:ind w:left="1810" w:hanging="360"/>
      </w:pPr>
    </w:lvl>
    <w:lvl w:ilvl="2" w:tplc="0809001B" w:tentative="1">
      <w:start w:val="1"/>
      <w:numFmt w:val="lowerRoman"/>
      <w:lvlText w:val="%3."/>
      <w:lvlJc w:val="right"/>
      <w:pPr>
        <w:ind w:left="2530" w:hanging="180"/>
      </w:pPr>
    </w:lvl>
    <w:lvl w:ilvl="3" w:tplc="0809000F" w:tentative="1">
      <w:start w:val="1"/>
      <w:numFmt w:val="decimal"/>
      <w:lvlText w:val="%4."/>
      <w:lvlJc w:val="left"/>
      <w:pPr>
        <w:ind w:left="3250" w:hanging="360"/>
      </w:pPr>
    </w:lvl>
    <w:lvl w:ilvl="4" w:tplc="08090019" w:tentative="1">
      <w:start w:val="1"/>
      <w:numFmt w:val="lowerLetter"/>
      <w:lvlText w:val="%5."/>
      <w:lvlJc w:val="left"/>
      <w:pPr>
        <w:ind w:left="3970" w:hanging="360"/>
      </w:pPr>
    </w:lvl>
    <w:lvl w:ilvl="5" w:tplc="0809001B" w:tentative="1">
      <w:start w:val="1"/>
      <w:numFmt w:val="lowerRoman"/>
      <w:lvlText w:val="%6."/>
      <w:lvlJc w:val="right"/>
      <w:pPr>
        <w:ind w:left="4690" w:hanging="180"/>
      </w:pPr>
    </w:lvl>
    <w:lvl w:ilvl="6" w:tplc="0809000F" w:tentative="1">
      <w:start w:val="1"/>
      <w:numFmt w:val="decimal"/>
      <w:lvlText w:val="%7."/>
      <w:lvlJc w:val="left"/>
      <w:pPr>
        <w:ind w:left="5410" w:hanging="360"/>
      </w:pPr>
    </w:lvl>
    <w:lvl w:ilvl="7" w:tplc="08090019" w:tentative="1">
      <w:start w:val="1"/>
      <w:numFmt w:val="lowerLetter"/>
      <w:lvlText w:val="%8."/>
      <w:lvlJc w:val="left"/>
      <w:pPr>
        <w:ind w:left="6130" w:hanging="360"/>
      </w:pPr>
    </w:lvl>
    <w:lvl w:ilvl="8" w:tplc="0809001B" w:tentative="1">
      <w:start w:val="1"/>
      <w:numFmt w:val="lowerRoman"/>
      <w:lvlText w:val="%9."/>
      <w:lvlJc w:val="right"/>
      <w:pPr>
        <w:ind w:left="6850" w:hanging="180"/>
      </w:pPr>
    </w:lvl>
  </w:abstractNum>
  <w:abstractNum w:abstractNumId="19" w15:restartNumberingAfterBreak="0">
    <w:nsid w:val="73A67453"/>
    <w:multiLevelType w:val="multilevel"/>
    <w:tmpl w:val="16D4075C"/>
    <w:lvl w:ilvl="0">
      <w:start w:val="1"/>
      <w:numFmt w:val="decimal"/>
      <w:pStyle w:val="Listanumerowana"/>
      <w:lvlText w:val="%1."/>
      <w:lvlJc w:val="left"/>
      <w:pPr>
        <w:ind w:left="360" w:hanging="360"/>
      </w:pPr>
      <w:rPr>
        <w:rFonts w:hint="default"/>
      </w:rPr>
    </w:lvl>
    <w:lvl w:ilvl="1">
      <w:start w:val="1"/>
      <w:numFmt w:val="lowerLetter"/>
      <w:pStyle w:val="Listanumerowana2"/>
      <w:lvlText w:val="%2."/>
      <w:lvlJc w:val="left"/>
      <w:pPr>
        <w:ind w:left="720" w:hanging="360"/>
      </w:pPr>
      <w:rPr>
        <w:rFonts w:hint="default"/>
      </w:rPr>
    </w:lvl>
    <w:lvl w:ilvl="2">
      <w:start w:val="1"/>
      <w:numFmt w:val="lowerRoman"/>
      <w:pStyle w:val="Listanumerowana3"/>
      <w:lvlText w:val="%3."/>
      <w:lvlJc w:val="left"/>
      <w:pPr>
        <w:ind w:left="1080" w:hanging="360"/>
      </w:pPr>
      <w:rPr>
        <w:rFonts w:hint="default"/>
      </w:rPr>
    </w:lvl>
    <w:lvl w:ilvl="3">
      <w:start w:val="1"/>
      <w:numFmt w:val="decimal"/>
      <w:pStyle w:val="Listanumerowana4"/>
      <w:lvlText w:val="%4)"/>
      <w:lvlJc w:val="left"/>
      <w:pPr>
        <w:ind w:left="1440" w:hanging="360"/>
      </w:pPr>
      <w:rPr>
        <w:rFonts w:hint="default"/>
      </w:rPr>
    </w:lvl>
    <w:lvl w:ilvl="4">
      <w:start w:val="1"/>
      <w:numFmt w:val="lowerLetter"/>
      <w:pStyle w:val="Listanumerowana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782064469">
    <w:abstractNumId w:val="19"/>
  </w:num>
  <w:num w:numId="2" w16cid:durableId="1677342064">
    <w:abstractNumId w:val="3"/>
  </w:num>
  <w:num w:numId="3" w16cid:durableId="1303386058">
    <w:abstractNumId w:val="2"/>
  </w:num>
  <w:num w:numId="4" w16cid:durableId="100229010">
    <w:abstractNumId w:val="1"/>
  </w:num>
  <w:num w:numId="5" w16cid:durableId="78799548">
    <w:abstractNumId w:val="0"/>
  </w:num>
  <w:num w:numId="6" w16cid:durableId="416484460">
    <w:abstractNumId w:val="8"/>
  </w:num>
  <w:num w:numId="7" w16cid:durableId="133328886">
    <w:abstractNumId w:val="7"/>
  </w:num>
  <w:num w:numId="8" w16cid:durableId="653293879">
    <w:abstractNumId w:val="6"/>
  </w:num>
  <w:num w:numId="9" w16cid:durableId="332032792">
    <w:abstractNumId w:val="5"/>
  </w:num>
  <w:num w:numId="10" w16cid:durableId="160506192">
    <w:abstractNumId w:val="4"/>
  </w:num>
  <w:num w:numId="11" w16cid:durableId="31274925">
    <w:abstractNumId w:val="10"/>
  </w:num>
  <w:num w:numId="12" w16cid:durableId="2045977391">
    <w:abstractNumId w:val="8"/>
  </w:num>
  <w:num w:numId="13" w16cid:durableId="9744568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60048726">
    <w:abstractNumId w:val="11"/>
  </w:num>
  <w:num w:numId="15" w16cid:durableId="2071922615">
    <w:abstractNumId w:val="9"/>
  </w:num>
  <w:num w:numId="16" w16cid:durableId="71397639">
    <w:abstractNumId w:val="13"/>
  </w:num>
  <w:num w:numId="17" w16cid:durableId="26370962">
    <w:abstractNumId w:val="14"/>
  </w:num>
  <w:num w:numId="18" w16cid:durableId="613289556">
    <w:abstractNumId w:val="17"/>
  </w:num>
  <w:num w:numId="19" w16cid:durableId="627975637">
    <w:abstractNumId w:val="8"/>
  </w:num>
  <w:num w:numId="20" w16cid:durableId="1642266735">
    <w:abstractNumId w:val="16"/>
  </w:num>
  <w:num w:numId="21" w16cid:durableId="678041466">
    <w:abstractNumId w:val="18"/>
  </w:num>
  <w:num w:numId="22" w16cid:durableId="799613479">
    <w:abstractNumId w:val="12"/>
  </w:num>
  <w:num w:numId="23" w16cid:durableId="208379328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087"/>
    <w:rsid w:val="00000CB2"/>
    <w:rsid w:val="00010C17"/>
    <w:rsid w:val="00013DD4"/>
    <w:rsid w:val="0001408C"/>
    <w:rsid w:val="00023CF5"/>
    <w:rsid w:val="000240FE"/>
    <w:rsid w:val="000304A9"/>
    <w:rsid w:val="00030CCA"/>
    <w:rsid w:val="00033EC4"/>
    <w:rsid w:val="0003470B"/>
    <w:rsid w:val="00035827"/>
    <w:rsid w:val="000428AA"/>
    <w:rsid w:val="00045172"/>
    <w:rsid w:val="000521AE"/>
    <w:rsid w:val="00053DEE"/>
    <w:rsid w:val="00071354"/>
    <w:rsid w:val="00074341"/>
    <w:rsid w:val="00081E07"/>
    <w:rsid w:val="00083807"/>
    <w:rsid w:val="000879D1"/>
    <w:rsid w:val="000927CE"/>
    <w:rsid w:val="000A259F"/>
    <w:rsid w:val="000C5C5A"/>
    <w:rsid w:val="000C60F9"/>
    <w:rsid w:val="000D08F5"/>
    <w:rsid w:val="000D29F7"/>
    <w:rsid w:val="000D4286"/>
    <w:rsid w:val="000D787A"/>
    <w:rsid w:val="000E0709"/>
    <w:rsid w:val="000E3D14"/>
    <w:rsid w:val="000E668F"/>
    <w:rsid w:val="000E6E56"/>
    <w:rsid w:val="000E7CFB"/>
    <w:rsid w:val="0010033B"/>
    <w:rsid w:val="0010206C"/>
    <w:rsid w:val="00104807"/>
    <w:rsid w:val="00104B64"/>
    <w:rsid w:val="0011207E"/>
    <w:rsid w:val="00120042"/>
    <w:rsid w:val="00124AA5"/>
    <w:rsid w:val="001265C0"/>
    <w:rsid w:val="0013480E"/>
    <w:rsid w:val="00134D0C"/>
    <w:rsid w:val="00136C6B"/>
    <w:rsid w:val="00142663"/>
    <w:rsid w:val="001454EE"/>
    <w:rsid w:val="00150689"/>
    <w:rsid w:val="00150707"/>
    <w:rsid w:val="001520D2"/>
    <w:rsid w:val="00152B7C"/>
    <w:rsid w:val="00155C40"/>
    <w:rsid w:val="00162572"/>
    <w:rsid w:val="0016403E"/>
    <w:rsid w:val="00166630"/>
    <w:rsid w:val="00172B76"/>
    <w:rsid w:val="00175D7C"/>
    <w:rsid w:val="0018422A"/>
    <w:rsid w:val="0019680D"/>
    <w:rsid w:val="001A0A0B"/>
    <w:rsid w:val="001A4907"/>
    <w:rsid w:val="001A7D3F"/>
    <w:rsid w:val="001B1C82"/>
    <w:rsid w:val="001B2002"/>
    <w:rsid w:val="001B3F85"/>
    <w:rsid w:val="001B4BB9"/>
    <w:rsid w:val="001C6055"/>
    <w:rsid w:val="001D6DB4"/>
    <w:rsid w:val="001E5995"/>
    <w:rsid w:val="001E7F1B"/>
    <w:rsid w:val="001F1D09"/>
    <w:rsid w:val="001F4ADE"/>
    <w:rsid w:val="001F5969"/>
    <w:rsid w:val="002209E1"/>
    <w:rsid w:val="00220B93"/>
    <w:rsid w:val="0022209E"/>
    <w:rsid w:val="00231346"/>
    <w:rsid w:val="0023309C"/>
    <w:rsid w:val="002346A2"/>
    <w:rsid w:val="00235637"/>
    <w:rsid w:val="00235CD0"/>
    <w:rsid w:val="00237D8B"/>
    <w:rsid w:val="002414FA"/>
    <w:rsid w:val="00246D45"/>
    <w:rsid w:val="00250503"/>
    <w:rsid w:val="00255F44"/>
    <w:rsid w:val="002611BD"/>
    <w:rsid w:val="002727DF"/>
    <w:rsid w:val="00272B30"/>
    <w:rsid w:val="00290880"/>
    <w:rsid w:val="002927C6"/>
    <w:rsid w:val="00296197"/>
    <w:rsid w:val="002A223C"/>
    <w:rsid w:val="002B0815"/>
    <w:rsid w:val="002B09ED"/>
    <w:rsid w:val="002C3411"/>
    <w:rsid w:val="002E21A5"/>
    <w:rsid w:val="002E797C"/>
    <w:rsid w:val="002F0925"/>
    <w:rsid w:val="002F7366"/>
    <w:rsid w:val="003130C5"/>
    <w:rsid w:val="003210E9"/>
    <w:rsid w:val="00324BC6"/>
    <w:rsid w:val="003408D6"/>
    <w:rsid w:val="00341822"/>
    <w:rsid w:val="003430EB"/>
    <w:rsid w:val="0034649A"/>
    <w:rsid w:val="0035044E"/>
    <w:rsid w:val="0035503D"/>
    <w:rsid w:val="00357677"/>
    <w:rsid w:val="0036067A"/>
    <w:rsid w:val="00364E23"/>
    <w:rsid w:val="0036727A"/>
    <w:rsid w:val="0037731C"/>
    <w:rsid w:val="00386525"/>
    <w:rsid w:val="00395B2C"/>
    <w:rsid w:val="00396367"/>
    <w:rsid w:val="003977E2"/>
    <w:rsid w:val="003A04D5"/>
    <w:rsid w:val="003A0FEC"/>
    <w:rsid w:val="003C03A4"/>
    <w:rsid w:val="003C1833"/>
    <w:rsid w:val="003C31E0"/>
    <w:rsid w:val="003C497D"/>
    <w:rsid w:val="003D1655"/>
    <w:rsid w:val="003D1AD5"/>
    <w:rsid w:val="003D404C"/>
    <w:rsid w:val="003D45DB"/>
    <w:rsid w:val="003E04AC"/>
    <w:rsid w:val="003E1302"/>
    <w:rsid w:val="003E228A"/>
    <w:rsid w:val="003F0BD7"/>
    <w:rsid w:val="00400DB6"/>
    <w:rsid w:val="0040788A"/>
    <w:rsid w:val="00411FB3"/>
    <w:rsid w:val="00412EAE"/>
    <w:rsid w:val="00422FD4"/>
    <w:rsid w:val="00433218"/>
    <w:rsid w:val="004333A3"/>
    <w:rsid w:val="004400C5"/>
    <w:rsid w:val="004402A4"/>
    <w:rsid w:val="004457CA"/>
    <w:rsid w:val="00446CFF"/>
    <w:rsid w:val="004539FA"/>
    <w:rsid w:val="004579C9"/>
    <w:rsid w:val="00462B6B"/>
    <w:rsid w:val="00463F60"/>
    <w:rsid w:val="00466ABB"/>
    <w:rsid w:val="00467DD6"/>
    <w:rsid w:val="00472FE4"/>
    <w:rsid w:val="00475081"/>
    <w:rsid w:val="00476DDD"/>
    <w:rsid w:val="00481060"/>
    <w:rsid w:val="00483282"/>
    <w:rsid w:val="00483E2C"/>
    <w:rsid w:val="00483F66"/>
    <w:rsid w:val="00487CB3"/>
    <w:rsid w:val="00494421"/>
    <w:rsid w:val="004961A1"/>
    <w:rsid w:val="004A6EC6"/>
    <w:rsid w:val="004C7A0C"/>
    <w:rsid w:val="004C7CCF"/>
    <w:rsid w:val="004D0461"/>
    <w:rsid w:val="004D1D6B"/>
    <w:rsid w:val="004D73BE"/>
    <w:rsid w:val="004E08FC"/>
    <w:rsid w:val="004E0B05"/>
    <w:rsid w:val="004E3518"/>
    <w:rsid w:val="004F2358"/>
    <w:rsid w:val="004F2653"/>
    <w:rsid w:val="004F2A4F"/>
    <w:rsid w:val="004F6E9F"/>
    <w:rsid w:val="00502F0B"/>
    <w:rsid w:val="00504207"/>
    <w:rsid w:val="00510111"/>
    <w:rsid w:val="0051530B"/>
    <w:rsid w:val="005230B8"/>
    <w:rsid w:val="00523FF6"/>
    <w:rsid w:val="00531996"/>
    <w:rsid w:val="005319ED"/>
    <w:rsid w:val="005377E7"/>
    <w:rsid w:val="005520B0"/>
    <w:rsid w:val="005537A8"/>
    <w:rsid w:val="00566999"/>
    <w:rsid w:val="00575871"/>
    <w:rsid w:val="00577E7E"/>
    <w:rsid w:val="00582759"/>
    <w:rsid w:val="00586919"/>
    <w:rsid w:val="00594D98"/>
    <w:rsid w:val="005A403A"/>
    <w:rsid w:val="005A42A2"/>
    <w:rsid w:val="005A6F62"/>
    <w:rsid w:val="005A734D"/>
    <w:rsid w:val="005B5BB5"/>
    <w:rsid w:val="005C1F82"/>
    <w:rsid w:val="005C30B8"/>
    <w:rsid w:val="005C4A0C"/>
    <w:rsid w:val="005C6423"/>
    <w:rsid w:val="005C713C"/>
    <w:rsid w:val="005E088F"/>
    <w:rsid w:val="005E0CDB"/>
    <w:rsid w:val="005E4B06"/>
    <w:rsid w:val="005F29FB"/>
    <w:rsid w:val="00603BA9"/>
    <w:rsid w:val="00606B0F"/>
    <w:rsid w:val="006137D6"/>
    <w:rsid w:val="006138DB"/>
    <w:rsid w:val="00620004"/>
    <w:rsid w:val="00632F10"/>
    <w:rsid w:val="006414F9"/>
    <w:rsid w:val="00644047"/>
    <w:rsid w:val="006444B5"/>
    <w:rsid w:val="006454F0"/>
    <w:rsid w:val="00656526"/>
    <w:rsid w:val="006572CE"/>
    <w:rsid w:val="0066377B"/>
    <w:rsid w:val="00686880"/>
    <w:rsid w:val="00693AAB"/>
    <w:rsid w:val="00693ED8"/>
    <w:rsid w:val="00694990"/>
    <w:rsid w:val="00694E09"/>
    <w:rsid w:val="006975D8"/>
    <w:rsid w:val="00697C2E"/>
    <w:rsid w:val="006A451E"/>
    <w:rsid w:val="006A60A8"/>
    <w:rsid w:val="006A698D"/>
    <w:rsid w:val="006B3AC6"/>
    <w:rsid w:val="006B50C7"/>
    <w:rsid w:val="006C0636"/>
    <w:rsid w:val="006C4DA1"/>
    <w:rsid w:val="006D18FB"/>
    <w:rsid w:val="006D1BEA"/>
    <w:rsid w:val="006D4254"/>
    <w:rsid w:val="006D5438"/>
    <w:rsid w:val="006E43A5"/>
    <w:rsid w:val="006E6496"/>
    <w:rsid w:val="006E6580"/>
    <w:rsid w:val="006F1896"/>
    <w:rsid w:val="006F6BF2"/>
    <w:rsid w:val="00727C16"/>
    <w:rsid w:val="007314C8"/>
    <w:rsid w:val="00736674"/>
    <w:rsid w:val="00737193"/>
    <w:rsid w:val="00744F12"/>
    <w:rsid w:val="007475C4"/>
    <w:rsid w:val="00751CAF"/>
    <w:rsid w:val="00766BEC"/>
    <w:rsid w:val="00767FEF"/>
    <w:rsid w:val="00772111"/>
    <w:rsid w:val="00772B6E"/>
    <w:rsid w:val="00777087"/>
    <w:rsid w:val="007829D2"/>
    <w:rsid w:val="00783074"/>
    <w:rsid w:val="0078522D"/>
    <w:rsid w:val="007A0B53"/>
    <w:rsid w:val="007A0C1B"/>
    <w:rsid w:val="007B1A48"/>
    <w:rsid w:val="007B1EA4"/>
    <w:rsid w:val="007B5B71"/>
    <w:rsid w:val="007B634A"/>
    <w:rsid w:val="007B7B44"/>
    <w:rsid w:val="007C5139"/>
    <w:rsid w:val="007C6C53"/>
    <w:rsid w:val="007D2C5F"/>
    <w:rsid w:val="007E16FA"/>
    <w:rsid w:val="007E325B"/>
    <w:rsid w:val="007E5516"/>
    <w:rsid w:val="007E76D0"/>
    <w:rsid w:val="007F7092"/>
    <w:rsid w:val="00801BBF"/>
    <w:rsid w:val="008029F2"/>
    <w:rsid w:val="008113FA"/>
    <w:rsid w:val="00814DB3"/>
    <w:rsid w:val="008159A8"/>
    <w:rsid w:val="00816FA9"/>
    <w:rsid w:val="008215CB"/>
    <w:rsid w:val="00822A22"/>
    <w:rsid w:val="00830559"/>
    <w:rsid w:val="00834506"/>
    <w:rsid w:val="00834E7E"/>
    <w:rsid w:val="00840B98"/>
    <w:rsid w:val="00843E4F"/>
    <w:rsid w:val="0084457B"/>
    <w:rsid w:val="00846F90"/>
    <w:rsid w:val="008510D6"/>
    <w:rsid w:val="00852827"/>
    <w:rsid w:val="0085495E"/>
    <w:rsid w:val="008574B7"/>
    <w:rsid w:val="008646DE"/>
    <w:rsid w:val="00866A38"/>
    <w:rsid w:val="008679F4"/>
    <w:rsid w:val="00870403"/>
    <w:rsid w:val="00875CBE"/>
    <w:rsid w:val="008812B3"/>
    <w:rsid w:val="00883283"/>
    <w:rsid w:val="008928E5"/>
    <w:rsid w:val="008A525C"/>
    <w:rsid w:val="008A6247"/>
    <w:rsid w:val="008B7932"/>
    <w:rsid w:val="008C3B4B"/>
    <w:rsid w:val="008C3D14"/>
    <w:rsid w:val="008C5285"/>
    <w:rsid w:val="008D4F31"/>
    <w:rsid w:val="008E2D44"/>
    <w:rsid w:val="008E6857"/>
    <w:rsid w:val="008F0C26"/>
    <w:rsid w:val="008F714A"/>
    <w:rsid w:val="00902DF2"/>
    <w:rsid w:val="00905F9C"/>
    <w:rsid w:val="00910C25"/>
    <w:rsid w:val="0091216A"/>
    <w:rsid w:val="0091229C"/>
    <w:rsid w:val="009145AA"/>
    <w:rsid w:val="0092271E"/>
    <w:rsid w:val="009255D9"/>
    <w:rsid w:val="009257A5"/>
    <w:rsid w:val="00933118"/>
    <w:rsid w:val="00934D21"/>
    <w:rsid w:val="0094110F"/>
    <w:rsid w:val="00947BCD"/>
    <w:rsid w:val="009560E1"/>
    <w:rsid w:val="0096003B"/>
    <w:rsid w:val="00963D6C"/>
    <w:rsid w:val="00972D16"/>
    <w:rsid w:val="00973775"/>
    <w:rsid w:val="00976057"/>
    <w:rsid w:val="009854D7"/>
    <w:rsid w:val="00987ED6"/>
    <w:rsid w:val="009914D4"/>
    <w:rsid w:val="0099293C"/>
    <w:rsid w:val="009B2791"/>
    <w:rsid w:val="009B60BA"/>
    <w:rsid w:val="009B66E1"/>
    <w:rsid w:val="009C3D9D"/>
    <w:rsid w:val="009C7A6F"/>
    <w:rsid w:val="009D37C9"/>
    <w:rsid w:val="009D509B"/>
    <w:rsid w:val="009E1CF1"/>
    <w:rsid w:val="009E63A1"/>
    <w:rsid w:val="009E6EF9"/>
    <w:rsid w:val="009E7B9D"/>
    <w:rsid w:val="009E7F82"/>
    <w:rsid w:val="009F5866"/>
    <w:rsid w:val="009F7227"/>
    <w:rsid w:val="00A076D6"/>
    <w:rsid w:val="00A16575"/>
    <w:rsid w:val="00A17B37"/>
    <w:rsid w:val="00A2125B"/>
    <w:rsid w:val="00A23320"/>
    <w:rsid w:val="00A24B4D"/>
    <w:rsid w:val="00A456C8"/>
    <w:rsid w:val="00A458EE"/>
    <w:rsid w:val="00A51CEF"/>
    <w:rsid w:val="00A536D0"/>
    <w:rsid w:val="00A60BCF"/>
    <w:rsid w:val="00A62F07"/>
    <w:rsid w:val="00A6449E"/>
    <w:rsid w:val="00A73F68"/>
    <w:rsid w:val="00A77CC2"/>
    <w:rsid w:val="00A80C68"/>
    <w:rsid w:val="00A84ADD"/>
    <w:rsid w:val="00A86A8C"/>
    <w:rsid w:val="00A87B49"/>
    <w:rsid w:val="00A93D72"/>
    <w:rsid w:val="00A96DA2"/>
    <w:rsid w:val="00AA1E5C"/>
    <w:rsid w:val="00AA3A34"/>
    <w:rsid w:val="00AA3BFF"/>
    <w:rsid w:val="00AA5C9A"/>
    <w:rsid w:val="00AB167A"/>
    <w:rsid w:val="00AB24CA"/>
    <w:rsid w:val="00AB51C0"/>
    <w:rsid w:val="00AB5266"/>
    <w:rsid w:val="00AB57E2"/>
    <w:rsid w:val="00AB6FB7"/>
    <w:rsid w:val="00AD354E"/>
    <w:rsid w:val="00AD5721"/>
    <w:rsid w:val="00AD5832"/>
    <w:rsid w:val="00AD5E9E"/>
    <w:rsid w:val="00AF063D"/>
    <w:rsid w:val="00AF5B57"/>
    <w:rsid w:val="00B01602"/>
    <w:rsid w:val="00B10172"/>
    <w:rsid w:val="00B1580D"/>
    <w:rsid w:val="00B21FF9"/>
    <w:rsid w:val="00B30455"/>
    <w:rsid w:val="00B3076E"/>
    <w:rsid w:val="00B310C9"/>
    <w:rsid w:val="00B32309"/>
    <w:rsid w:val="00B35C7C"/>
    <w:rsid w:val="00B4285A"/>
    <w:rsid w:val="00B514CD"/>
    <w:rsid w:val="00B6416A"/>
    <w:rsid w:val="00B64820"/>
    <w:rsid w:val="00B67195"/>
    <w:rsid w:val="00B70432"/>
    <w:rsid w:val="00B71A67"/>
    <w:rsid w:val="00B71B19"/>
    <w:rsid w:val="00B756F2"/>
    <w:rsid w:val="00B841F8"/>
    <w:rsid w:val="00B94795"/>
    <w:rsid w:val="00BA0DEF"/>
    <w:rsid w:val="00BB1360"/>
    <w:rsid w:val="00BB48AC"/>
    <w:rsid w:val="00BB7B8B"/>
    <w:rsid w:val="00BC0666"/>
    <w:rsid w:val="00BC2522"/>
    <w:rsid w:val="00BC5B8D"/>
    <w:rsid w:val="00BC658F"/>
    <w:rsid w:val="00BD46E5"/>
    <w:rsid w:val="00BD6E9D"/>
    <w:rsid w:val="00BE0327"/>
    <w:rsid w:val="00BE07B5"/>
    <w:rsid w:val="00BE3F3D"/>
    <w:rsid w:val="00BE45D2"/>
    <w:rsid w:val="00BE4F4E"/>
    <w:rsid w:val="00BE795B"/>
    <w:rsid w:val="00BF2DAB"/>
    <w:rsid w:val="00BF5AE6"/>
    <w:rsid w:val="00C012AF"/>
    <w:rsid w:val="00C02681"/>
    <w:rsid w:val="00C079B5"/>
    <w:rsid w:val="00C100B5"/>
    <w:rsid w:val="00C13434"/>
    <w:rsid w:val="00C15481"/>
    <w:rsid w:val="00C2096D"/>
    <w:rsid w:val="00C27F64"/>
    <w:rsid w:val="00C34ECF"/>
    <w:rsid w:val="00C36429"/>
    <w:rsid w:val="00C405BB"/>
    <w:rsid w:val="00C41E75"/>
    <w:rsid w:val="00C4216C"/>
    <w:rsid w:val="00C4489B"/>
    <w:rsid w:val="00C6134D"/>
    <w:rsid w:val="00C63DA4"/>
    <w:rsid w:val="00C64713"/>
    <w:rsid w:val="00C65B63"/>
    <w:rsid w:val="00C70C14"/>
    <w:rsid w:val="00C719EC"/>
    <w:rsid w:val="00C86B82"/>
    <w:rsid w:val="00C905B4"/>
    <w:rsid w:val="00C931B9"/>
    <w:rsid w:val="00C941AC"/>
    <w:rsid w:val="00CA4C94"/>
    <w:rsid w:val="00CB07F4"/>
    <w:rsid w:val="00CB0832"/>
    <w:rsid w:val="00CB5532"/>
    <w:rsid w:val="00CB61A8"/>
    <w:rsid w:val="00CC149C"/>
    <w:rsid w:val="00CC1DC0"/>
    <w:rsid w:val="00CC3124"/>
    <w:rsid w:val="00CC3657"/>
    <w:rsid w:val="00CD13EE"/>
    <w:rsid w:val="00CD1A2E"/>
    <w:rsid w:val="00CE4C76"/>
    <w:rsid w:val="00CE4D69"/>
    <w:rsid w:val="00CE4E3C"/>
    <w:rsid w:val="00CF09C3"/>
    <w:rsid w:val="00CF1A8A"/>
    <w:rsid w:val="00CF4871"/>
    <w:rsid w:val="00D02A34"/>
    <w:rsid w:val="00D070FF"/>
    <w:rsid w:val="00D11355"/>
    <w:rsid w:val="00D227D0"/>
    <w:rsid w:val="00D2298A"/>
    <w:rsid w:val="00D34B62"/>
    <w:rsid w:val="00D435F1"/>
    <w:rsid w:val="00D45C85"/>
    <w:rsid w:val="00D46D52"/>
    <w:rsid w:val="00D4779E"/>
    <w:rsid w:val="00D5141C"/>
    <w:rsid w:val="00D51D11"/>
    <w:rsid w:val="00D67799"/>
    <w:rsid w:val="00D731F4"/>
    <w:rsid w:val="00D90E8D"/>
    <w:rsid w:val="00D91FC0"/>
    <w:rsid w:val="00DB003F"/>
    <w:rsid w:val="00DB60E9"/>
    <w:rsid w:val="00DD389A"/>
    <w:rsid w:val="00DE2497"/>
    <w:rsid w:val="00DE3757"/>
    <w:rsid w:val="00DE75E3"/>
    <w:rsid w:val="00DF0260"/>
    <w:rsid w:val="00DF0444"/>
    <w:rsid w:val="00DF19B1"/>
    <w:rsid w:val="00DF3596"/>
    <w:rsid w:val="00DF42CC"/>
    <w:rsid w:val="00DF5A7E"/>
    <w:rsid w:val="00E05BFC"/>
    <w:rsid w:val="00E1036E"/>
    <w:rsid w:val="00E1174C"/>
    <w:rsid w:val="00E22897"/>
    <w:rsid w:val="00E32052"/>
    <w:rsid w:val="00E32807"/>
    <w:rsid w:val="00E33025"/>
    <w:rsid w:val="00E43980"/>
    <w:rsid w:val="00E46777"/>
    <w:rsid w:val="00E47380"/>
    <w:rsid w:val="00E50040"/>
    <w:rsid w:val="00E53AC5"/>
    <w:rsid w:val="00E61BC6"/>
    <w:rsid w:val="00E63913"/>
    <w:rsid w:val="00E63F6B"/>
    <w:rsid w:val="00E65579"/>
    <w:rsid w:val="00E66CA0"/>
    <w:rsid w:val="00E711C0"/>
    <w:rsid w:val="00E81D32"/>
    <w:rsid w:val="00E86EC1"/>
    <w:rsid w:val="00E874FF"/>
    <w:rsid w:val="00E94651"/>
    <w:rsid w:val="00EA432B"/>
    <w:rsid w:val="00EB0934"/>
    <w:rsid w:val="00EB0AE9"/>
    <w:rsid w:val="00EB1E30"/>
    <w:rsid w:val="00EB60E6"/>
    <w:rsid w:val="00EC44E8"/>
    <w:rsid w:val="00EC5964"/>
    <w:rsid w:val="00EC5EB1"/>
    <w:rsid w:val="00ED6C6F"/>
    <w:rsid w:val="00EE30D8"/>
    <w:rsid w:val="00EE6592"/>
    <w:rsid w:val="00EF419A"/>
    <w:rsid w:val="00EF58B6"/>
    <w:rsid w:val="00F13AFA"/>
    <w:rsid w:val="00F15058"/>
    <w:rsid w:val="00F22747"/>
    <w:rsid w:val="00F31313"/>
    <w:rsid w:val="00F34387"/>
    <w:rsid w:val="00F35A95"/>
    <w:rsid w:val="00F4769C"/>
    <w:rsid w:val="00F4778E"/>
    <w:rsid w:val="00F51696"/>
    <w:rsid w:val="00F5205D"/>
    <w:rsid w:val="00F55F8F"/>
    <w:rsid w:val="00F61558"/>
    <w:rsid w:val="00F61F0E"/>
    <w:rsid w:val="00F6408C"/>
    <w:rsid w:val="00F83198"/>
    <w:rsid w:val="00F8406B"/>
    <w:rsid w:val="00F875DB"/>
    <w:rsid w:val="00F954D6"/>
    <w:rsid w:val="00F97109"/>
    <w:rsid w:val="00FA5991"/>
    <w:rsid w:val="00FA7A85"/>
    <w:rsid w:val="00FB225B"/>
    <w:rsid w:val="00FB7C7A"/>
    <w:rsid w:val="00FC4092"/>
    <w:rsid w:val="00FC6F9F"/>
    <w:rsid w:val="00FD570E"/>
    <w:rsid w:val="00FD67A1"/>
    <w:rsid w:val="00FE68EA"/>
    <w:rsid w:val="00FF39C3"/>
    <w:rsid w:val="00FF7A6A"/>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A19ECF"/>
  <w15:chartTrackingRefBased/>
  <w15:docId w15:val="{1F4E0CAD-003D-4377-9B7A-5AFA6B657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2"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lsdException w:name="annotation text" w:semiHidden="1"/>
    <w:lsdException w:name="index heading" w:semiHidden="1"/>
    <w:lsdException w:name="caption" w:semiHidden="1" w:uiPriority="35" w:unhideWhenUsed="1"/>
    <w:lsdException w:name="table of figures" w:semiHidden="1"/>
    <w:lsdException w:name="envelope return" w:semiHidden="1"/>
    <w:lsdException w:name="annotation reference" w:semiHidden="1"/>
    <w:lsdException w:name="line number" w:semiHidden="1"/>
    <w:lsdException w:name="page number" w:uiPriority="8"/>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Title" w:uiPriority="10"/>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uiPriority="36"/>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FollowedHyperlink" w:uiPriority="98"/>
    <w:lsdException w:name="Strong" w:uiPriority="22"/>
    <w:lsdException w:name="Emphasis"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1822"/>
  </w:style>
  <w:style w:type="paragraph" w:styleId="Nagwek1">
    <w:name w:val="heading 1"/>
    <w:basedOn w:val="Tytu"/>
    <w:next w:val="Normalny"/>
    <w:link w:val="Nagwek1Znak"/>
    <w:uiPriority w:val="9"/>
    <w:qFormat/>
    <w:rsid w:val="00C15481"/>
    <w:pPr>
      <w:keepNext/>
      <w:spacing w:before="320" w:after="360" w:line="288" w:lineRule="auto"/>
      <w:contextualSpacing w:val="0"/>
      <w:outlineLvl w:val="0"/>
    </w:pPr>
    <w:rPr>
      <w:bCs w:val="0"/>
      <w:sz w:val="36"/>
      <w:szCs w:val="28"/>
    </w:rPr>
  </w:style>
  <w:style w:type="paragraph" w:styleId="Nagwek2">
    <w:name w:val="heading 2"/>
    <w:basedOn w:val="Nagwek1"/>
    <w:next w:val="Normalny"/>
    <w:link w:val="Nagwek2Znak"/>
    <w:uiPriority w:val="9"/>
    <w:qFormat/>
    <w:rsid w:val="0013480E"/>
    <w:pPr>
      <w:spacing w:after="120"/>
      <w:outlineLvl w:val="1"/>
    </w:pPr>
    <w:rPr>
      <w:b w:val="0"/>
      <w:bCs/>
      <w:sz w:val="28"/>
    </w:rPr>
  </w:style>
  <w:style w:type="paragraph" w:styleId="Nagwek3">
    <w:name w:val="heading 3"/>
    <w:basedOn w:val="Nagwek2"/>
    <w:next w:val="Normalny"/>
    <w:link w:val="Nagwek3Znak"/>
    <w:uiPriority w:val="9"/>
    <w:qFormat/>
    <w:rsid w:val="009560E1"/>
    <w:pPr>
      <w:outlineLvl w:val="2"/>
    </w:pPr>
    <w:rPr>
      <w:b/>
      <w:sz w:val="22"/>
      <w:szCs w:val="24"/>
    </w:rPr>
  </w:style>
  <w:style w:type="paragraph" w:styleId="Nagwek4">
    <w:name w:val="heading 4"/>
    <w:basedOn w:val="Nagwek3"/>
    <w:next w:val="Normalny"/>
    <w:link w:val="Nagwek4Znak"/>
    <w:uiPriority w:val="9"/>
    <w:qFormat/>
    <w:rsid w:val="009D37C9"/>
    <w:pPr>
      <w:outlineLvl w:val="3"/>
    </w:pPr>
    <w:rPr>
      <w:b w:val="0"/>
      <w:i/>
      <w:iCs/>
      <w:sz w:val="21"/>
    </w:rPr>
  </w:style>
  <w:style w:type="paragraph" w:styleId="Nagwek5">
    <w:name w:val="heading 5"/>
    <w:basedOn w:val="Nagwek4"/>
    <w:next w:val="Normalny"/>
    <w:link w:val="Nagwek5Znak"/>
    <w:uiPriority w:val="9"/>
    <w:semiHidden/>
    <w:qFormat/>
    <w:rsid w:val="00A16575"/>
    <w:pPr>
      <w:outlineLvl w:val="4"/>
    </w:pPr>
    <w:rPr>
      <w:bCs w:val="0"/>
      <w:i w:val="0"/>
      <w:sz w:val="19"/>
    </w:rPr>
  </w:style>
  <w:style w:type="paragraph" w:styleId="Nagwek6">
    <w:name w:val="heading 6"/>
    <w:basedOn w:val="Nagwek5"/>
    <w:next w:val="Normalny"/>
    <w:link w:val="Nagwek6Znak"/>
    <w:uiPriority w:val="9"/>
    <w:semiHidden/>
    <w:rsid w:val="00A16575"/>
    <w:pPr>
      <w:outlineLvl w:val="5"/>
    </w:pPr>
    <w:rPr>
      <w:bCs/>
      <w:iCs w:val="0"/>
    </w:rPr>
  </w:style>
  <w:style w:type="paragraph" w:styleId="Nagwek7">
    <w:name w:val="heading 7"/>
    <w:basedOn w:val="Nagwek6"/>
    <w:next w:val="Normalny"/>
    <w:link w:val="Nagwek7Znak"/>
    <w:uiPriority w:val="9"/>
    <w:semiHidden/>
    <w:rsid w:val="00A16575"/>
    <w:pPr>
      <w:outlineLvl w:val="6"/>
    </w:pPr>
    <w:rPr>
      <w:iCs/>
    </w:rPr>
  </w:style>
  <w:style w:type="paragraph" w:styleId="Nagwek8">
    <w:name w:val="heading 8"/>
    <w:basedOn w:val="Nagwek7"/>
    <w:next w:val="Normalny"/>
    <w:link w:val="Nagwek8Znak"/>
    <w:uiPriority w:val="9"/>
    <w:semiHidden/>
    <w:rsid w:val="00934D21"/>
    <w:pPr>
      <w:outlineLvl w:val="7"/>
    </w:pPr>
    <w:rPr>
      <w:bCs w:val="0"/>
    </w:rPr>
  </w:style>
  <w:style w:type="paragraph" w:styleId="Nagwek9">
    <w:name w:val="heading 9"/>
    <w:basedOn w:val="Nagwek8"/>
    <w:next w:val="Normalny"/>
    <w:link w:val="Nagwek9Znak"/>
    <w:uiPriority w:val="9"/>
    <w:semiHidden/>
    <w:rsid w:val="00934D21"/>
    <w:pPr>
      <w:outlineLvl w:val="8"/>
    </w:pPr>
    <w:rPr>
      <w:iCs w:val="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15481"/>
    <w:rPr>
      <w:rFonts w:asciiTheme="majorHAnsi" w:eastAsiaTheme="majorEastAsia" w:hAnsiTheme="majorHAnsi" w:cstheme="majorBidi"/>
      <w:b/>
      <w:sz w:val="36"/>
      <w:szCs w:val="28"/>
      <w:lang w:val="en-US"/>
    </w:rPr>
  </w:style>
  <w:style w:type="character" w:customStyle="1" w:styleId="Nagwek2Znak">
    <w:name w:val="Nagłówek 2 Znak"/>
    <w:basedOn w:val="Domylnaczcionkaakapitu"/>
    <w:link w:val="Nagwek2"/>
    <w:uiPriority w:val="9"/>
    <w:rsid w:val="0013480E"/>
    <w:rPr>
      <w:rFonts w:asciiTheme="majorHAnsi" w:eastAsiaTheme="majorEastAsia" w:hAnsiTheme="majorHAnsi" w:cstheme="majorBidi"/>
      <w:bCs/>
      <w:sz w:val="28"/>
      <w:szCs w:val="28"/>
      <w:lang w:val="en-US"/>
    </w:rPr>
  </w:style>
  <w:style w:type="character" w:customStyle="1" w:styleId="Nagwek3Znak">
    <w:name w:val="Nagłówek 3 Znak"/>
    <w:basedOn w:val="Domylnaczcionkaakapitu"/>
    <w:link w:val="Nagwek3"/>
    <w:uiPriority w:val="9"/>
    <w:rsid w:val="009560E1"/>
    <w:rPr>
      <w:rFonts w:asciiTheme="majorHAnsi" w:eastAsiaTheme="majorEastAsia" w:hAnsiTheme="majorHAnsi" w:cstheme="majorBidi"/>
      <w:bCs/>
      <w:sz w:val="22"/>
      <w:szCs w:val="24"/>
      <w:lang w:val="en-US"/>
    </w:rPr>
  </w:style>
  <w:style w:type="character" w:customStyle="1" w:styleId="Nagwek4Znak">
    <w:name w:val="Nagłówek 4 Znak"/>
    <w:basedOn w:val="Domylnaczcionkaakapitu"/>
    <w:link w:val="Nagwek4"/>
    <w:uiPriority w:val="9"/>
    <w:rsid w:val="009D37C9"/>
    <w:rPr>
      <w:rFonts w:asciiTheme="majorHAnsi" w:eastAsiaTheme="majorEastAsia" w:hAnsiTheme="majorHAnsi" w:cstheme="majorBidi"/>
      <w:bCs/>
      <w:i/>
      <w:iCs/>
      <w:sz w:val="21"/>
      <w:szCs w:val="24"/>
      <w:lang w:val="en-US"/>
    </w:rPr>
  </w:style>
  <w:style w:type="character" w:customStyle="1" w:styleId="Nagwek5Znak">
    <w:name w:val="Nagłówek 5 Znak"/>
    <w:basedOn w:val="Domylnaczcionkaakapitu"/>
    <w:link w:val="Nagwek5"/>
    <w:uiPriority w:val="9"/>
    <w:semiHidden/>
    <w:rsid w:val="00A6449E"/>
    <w:rPr>
      <w:rFonts w:asciiTheme="majorHAnsi" w:eastAsiaTheme="majorEastAsia" w:hAnsiTheme="majorHAnsi" w:cstheme="majorBidi"/>
      <w:iCs/>
      <w:szCs w:val="24"/>
    </w:rPr>
  </w:style>
  <w:style w:type="character" w:customStyle="1" w:styleId="Nagwek6Znak">
    <w:name w:val="Nagłówek 6 Znak"/>
    <w:basedOn w:val="Domylnaczcionkaakapitu"/>
    <w:link w:val="Nagwek6"/>
    <w:uiPriority w:val="9"/>
    <w:semiHidden/>
    <w:rsid w:val="00A6449E"/>
    <w:rPr>
      <w:rFonts w:asciiTheme="majorHAnsi" w:eastAsiaTheme="majorEastAsia" w:hAnsiTheme="majorHAnsi" w:cstheme="majorBidi"/>
      <w:bCs/>
      <w:szCs w:val="24"/>
    </w:rPr>
  </w:style>
  <w:style w:type="character" w:customStyle="1" w:styleId="Nagwek7Znak">
    <w:name w:val="Nagłówek 7 Znak"/>
    <w:basedOn w:val="Domylnaczcionkaakapitu"/>
    <w:link w:val="Nagwek7"/>
    <w:uiPriority w:val="9"/>
    <w:semiHidden/>
    <w:rsid w:val="00A6449E"/>
    <w:rPr>
      <w:rFonts w:asciiTheme="majorHAnsi" w:eastAsiaTheme="majorEastAsia" w:hAnsiTheme="majorHAnsi" w:cstheme="majorBidi"/>
      <w:bCs/>
      <w:iCs/>
      <w:szCs w:val="24"/>
    </w:rPr>
  </w:style>
  <w:style w:type="character" w:customStyle="1" w:styleId="Nagwek8Znak">
    <w:name w:val="Nagłówek 8 Znak"/>
    <w:basedOn w:val="Domylnaczcionkaakapitu"/>
    <w:link w:val="Nagwek8"/>
    <w:uiPriority w:val="9"/>
    <w:semiHidden/>
    <w:rsid w:val="00A6449E"/>
    <w:rPr>
      <w:rFonts w:asciiTheme="majorHAnsi" w:eastAsiaTheme="majorEastAsia" w:hAnsiTheme="majorHAnsi" w:cstheme="majorBidi"/>
      <w:iCs/>
      <w:szCs w:val="24"/>
    </w:rPr>
  </w:style>
  <w:style w:type="character" w:customStyle="1" w:styleId="Nagwek9Znak">
    <w:name w:val="Nagłówek 9 Znak"/>
    <w:basedOn w:val="Domylnaczcionkaakapitu"/>
    <w:link w:val="Nagwek9"/>
    <w:uiPriority w:val="9"/>
    <w:semiHidden/>
    <w:rsid w:val="00A6449E"/>
    <w:rPr>
      <w:rFonts w:asciiTheme="majorHAnsi" w:eastAsiaTheme="majorEastAsia" w:hAnsiTheme="majorHAnsi" w:cstheme="majorBidi"/>
      <w:szCs w:val="24"/>
    </w:rPr>
  </w:style>
  <w:style w:type="paragraph" w:styleId="Legenda">
    <w:name w:val="caption"/>
    <w:basedOn w:val="Normalny"/>
    <w:next w:val="Normalny"/>
    <w:uiPriority w:val="99"/>
    <w:rsid w:val="009560E1"/>
    <w:pPr>
      <w:keepNext/>
      <w:spacing w:before="240" w:line="240" w:lineRule="auto"/>
    </w:pPr>
    <w:rPr>
      <w:bCs/>
      <w:sz w:val="16"/>
      <w:szCs w:val="18"/>
    </w:rPr>
  </w:style>
  <w:style w:type="paragraph" w:styleId="Tytu">
    <w:name w:val="Title"/>
    <w:basedOn w:val="Normalny"/>
    <w:next w:val="Normalny"/>
    <w:link w:val="TytuZnak"/>
    <w:uiPriority w:val="34"/>
    <w:rsid w:val="00DB60E9"/>
    <w:pPr>
      <w:spacing w:after="0" w:line="240" w:lineRule="auto"/>
      <w:contextualSpacing/>
    </w:pPr>
    <w:rPr>
      <w:rFonts w:asciiTheme="majorHAnsi" w:eastAsiaTheme="majorEastAsia" w:hAnsiTheme="majorHAnsi" w:cstheme="majorBidi"/>
      <w:b/>
      <w:bCs/>
      <w:sz w:val="40"/>
      <w:szCs w:val="48"/>
    </w:rPr>
  </w:style>
  <w:style w:type="character" w:customStyle="1" w:styleId="TytuZnak">
    <w:name w:val="Tytuł Znak"/>
    <w:basedOn w:val="Domylnaczcionkaakapitu"/>
    <w:link w:val="Tytu"/>
    <w:uiPriority w:val="34"/>
    <w:rsid w:val="00DB60E9"/>
    <w:rPr>
      <w:rFonts w:asciiTheme="majorHAnsi" w:eastAsiaTheme="majorEastAsia" w:hAnsiTheme="majorHAnsi" w:cstheme="majorBidi"/>
      <w:b/>
      <w:bCs/>
      <w:sz w:val="40"/>
      <w:szCs w:val="48"/>
      <w:lang w:val="en-US"/>
    </w:rPr>
  </w:style>
  <w:style w:type="paragraph" w:styleId="Podtytu">
    <w:name w:val="Subtitle"/>
    <w:basedOn w:val="Tytu"/>
    <w:next w:val="Normalny"/>
    <w:link w:val="PodtytuZnak"/>
    <w:uiPriority w:val="35"/>
    <w:rsid w:val="006F1896"/>
    <w:pPr>
      <w:numPr>
        <w:ilvl w:val="1"/>
      </w:numPr>
      <w:spacing w:before="360" w:after="240"/>
    </w:pPr>
    <w:rPr>
      <w:b w:val="0"/>
      <w:sz w:val="32"/>
      <w:szCs w:val="24"/>
    </w:rPr>
  </w:style>
  <w:style w:type="character" w:customStyle="1" w:styleId="PodtytuZnak">
    <w:name w:val="Podtytuł Znak"/>
    <w:basedOn w:val="Domylnaczcionkaakapitu"/>
    <w:link w:val="Podtytu"/>
    <w:uiPriority w:val="35"/>
    <w:rsid w:val="006F1896"/>
    <w:rPr>
      <w:rFonts w:asciiTheme="majorHAnsi" w:eastAsiaTheme="majorEastAsia" w:hAnsiTheme="majorHAnsi" w:cstheme="majorBidi"/>
      <w:bCs/>
      <w:sz w:val="32"/>
      <w:szCs w:val="24"/>
      <w:lang w:val="en-US"/>
    </w:rPr>
  </w:style>
  <w:style w:type="character" w:styleId="Pogrubienie">
    <w:name w:val="Strong"/>
    <w:basedOn w:val="Domylnaczcionkaakapitu"/>
    <w:uiPriority w:val="22"/>
    <w:semiHidden/>
    <w:rsid w:val="005F29FB"/>
    <w:rPr>
      <w:b/>
      <w:bCs/>
      <w:color w:val="auto"/>
    </w:rPr>
  </w:style>
  <w:style w:type="character" w:styleId="Uwydatnienie">
    <w:name w:val="Emphasis"/>
    <w:basedOn w:val="Domylnaczcionkaakapitu"/>
    <w:uiPriority w:val="20"/>
    <w:semiHidden/>
    <w:rsid w:val="005F29FB"/>
    <w:rPr>
      <w:i/>
      <w:iCs/>
      <w:color w:val="auto"/>
    </w:rPr>
  </w:style>
  <w:style w:type="paragraph" w:styleId="Bezodstpw">
    <w:name w:val="No Spacing"/>
    <w:uiPriority w:val="1"/>
    <w:rsid w:val="00644047"/>
    <w:pPr>
      <w:spacing w:after="0"/>
    </w:pPr>
  </w:style>
  <w:style w:type="paragraph" w:styleId="Cytat">
    <w:name w:val="Quote"/>
    <w:basedOn w:val="Normalny"/>
    <w:next w:val="Normalny"/>
    <w:link w:val="CytatZnak"/>
    <w:uiPriority w:val="29"/>
    <w:semiHidden/>
    <w:rsid w:val="005F29F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ytatZnak">
    <w:name w:val="Cytat Znak"/>
    <w:basedOn w:val="Domylnaczcionkaakapitu"/>
    <w:link w:val="Cytat"/>
    <w:uiPriority w:val="29"/>
    <w:semiHidden/>
    <w:rsid w:val="005F29FB"/>
    <w:rPr>
      <w:rFonts w:asciiTheme="majorHAnsi" w:eastAsiaTheme="majorEastAsia" w:hAnsiTheme="majorHAnsi" w:cstheme="majorBidi"/>
      <w:i/>
      <w:iCs/>
      <w:sz w:val="24"/>
      <w:szCs w:val="24"/>
    </w:rPr>
  </w:style>
  <w:style w:type="paragraph" w:styleId="Cytatintensywny">
    <w:name w:val="Intense Quote"/>
    <w:basedOn w:val="Normalny"/>
    <w:next w:val="Normalny"/>
    <w:link w:val="CytatintensywnyZnak"/>
    <w:uiPriority w:val="30"/>
    <w:semiHidden/>
    <w:rsid w:val="005F29FB"/>
    <w:pPr>
      <w:spacing w:before="100" w:beforeAutospacing="1"/>
      <w:ind w:left="936" w:right="936"/>
      <w:jc w:val="center"/>
    </w:pPr>
    <w:rPr>
      <w:rFonts w:asciiTheme="majorHAnsi" w:eastAsiaTheme="majorEastAsia" w:hAnsiTheme="majorHAnsi" w:cstheme="majorBidi"/>
      <w:sz w:val="26"/>
      <w:szCs w:val="26"/>
    </w:rPr>
  </w:style>
  <w:style w:type="character" w:customStyle="1" w:styleId="CytatintensywnyZnak">
    <w:name w:val="Cytat intensywny Znak"/>
    <w:basedOn w:val="Domylnaczcionkaakapitu"/>
    <w:link w:val="Cytatintensywny"/>
    <w:uiPriority w:val="30"/>
    <w:semiHidden/>
    <w:rsid w:val="005F29FB"/>
    <w:rPr>
      <w:rFonts w:asciiTheme="majorHAnsi" w:eastAsiaTheme="majorEastAsia" w:hAnsiTheme="majorHAnsi" w:cstheme="majorBidi"/>
      <w:sz w:val="26"/>
      <w:szCs w:val="26"/>
    </w:rPr>
  </w:style>
  <w:style w:type="character" w:styleId="Wyrnieniedelikatne">
    <w:name w:val="Subtle Emphasis"/>
    <w:basedOn w:val="Domylnaczcionkaakapitu"/>
    <w:uiPriority w:val="19"/>
    <w:semiHidden/>
    <w:rsid w:val="005F29FB"/>
    <w:rPr>
      <w:i/>
      <w:iCs/>
      <w:color w:val="auto"/>
    </w:rPr>
  </w:style>
  <w:style w:type="character" w:styleId="Wyrnienieintensywne">
    <w:name w:val="Intense Emphasis"/>
    <w:basedOn w:val="Domylnaczcionkaakapitu"/>
    <w:uiPriority w:val="21"/>
    <w:semiHidden/>
    <w:rsid w:val="005F29FB"/>
    <w:rPr>
      <w:b/>
      <w:bCs/>
      <w:i/>
      <w:iCs/>
      <w:color w:val="auto"/>
    </w:rPr>
  </w:style>
  <w:style w:type="character" w:styleId="Odwoaniedelikatne">
    <w:name w:val="Subtle Reference"/>
    <w:basedOn w:val="Domylnaczcionkaakapitu"/>
    <w:uiPriority w:val="31"/>
    <w:semiHidden/>
    <w:rsid w:val="005F29FB"/>
    <w:rPr>
      <w:smallCaps/>
      <w:color w:val="auto"/>
      <w:u w:val="single" w:color="7F7F7F" w:themeColor="text1" w:themeTint="80"/>
    </w:rPr>
  </w:style>
  <w:style w:type="character" w:styleId="Odwoanieintensywne">
    <w:name w:val="Intense Reference"/>
    <w:basedOn w:val="Domylnaczcionkaakapitu"/>
    <w:uiPriority w:val="32"/>
    <w:semiHidden/>
    <w:rsid w:val="005F29FB"/>
    <w:rPr>
      <w:b/>
      <w:bCs/>
      <w:smallCaps/>
      <w:color w:val="auto"/>
      <w:u w:val="single"/>
    </w:rPr>
  </w:style>
  <w:style w:type="character" w:styleId="Tytuksiki">
    <w:name w:val="Book Title"/>
    <w:basedOn w:val="Domylnaczcionkaakapitu"/>
    <w:uiPriority w:val="33"/>
    <w:semiHidden/>
    <w:rsid w:val="005F29FB"/>
    <w:rPr>
      <w:b/>
      <w:bCs/>
      <w:smallCaps/>
      <w:color w:val="auto"/>
    </w:rPr>
  </w:style>
  <w:style w:type="paragraph" w:styleId="Nagwekspisutreci">
    <w:name w:val="TOC Heading"/>
    <w:basedOn w:val="Nagwek1"/>
    <w:next w:val="Normalny"/>
    <w:uiPriority w:val="38"/>
    <w:rsid w:val="00A6449E"/>
    <w:pPr>
      <w:outlineLvl w:val="9"/>
    </w:pPr>
  </w:style>
  <w:style w:type="paragraph" w:styleId="Spistreci1">
    <w:name w:val="toc 1"/>
    <w:basedOn w:val="Normalny"/>
    <w:next w:val="Normalny"/>
    <w:uiPriority w:val="39"/>
    <w:rsid w:val="00693ED8"/>
    <w:pPr>
      <w:tabs>
        <w:tab w:val="right" w:leader="dot" w:pos="9062"/>
      </w:tabs>
      <w:spacing w:after="100"/>
      <w:ind w:left="425" w:hanging="425"/>
    </w:pPr>
    <w:rPr>
      <w:noProof/>
      <w:lang w:eastAsia="en-GB"/>
    </w:rPr>
  </w:style>
  <w:style w:type="paragraph" w:styleId="Spistreci2">
    <w:name w:val="toc 2"/>
    <w:basedOn w:val="Normalny"/>
    <w:next w:val="Normalny"/>
    <w:uiPriority w:val="39"/>
    <w:rsid w:val="00693ED8"/>
    <w:pPr>
      <w:tabs>
        <w:tab w:val="right" w:leader="dot" w:pos="9062"/>
      </w:tabs>
      <w:spacing w:after="100"/>
      <w:ind w:left="850" w:hanging="425"/>
    </w:pPr>
    <w:rPr>
      <w:noProof/>
    </w:rPr>
  </w:style>
  <w:style w:type="paragraph" w:styleId="Spistreci3">
    <w:name w:val="toc 3"/>
    <w:basedOn w:val="Normalny"/>
    <w:next w:val="Normalny"/>
    <w:uiPriority w:val="39"/>
    <w:rsid w:val="00693ED8"/>
    <w:pPr>
      <w:tabs>
        <w:tab w:val="right" w:leader="dot" w:pos="9062"/>
      </w:tabs>
      <w:spacing w:after="100"/>
      <w:ind w:left="1276" w:hanging="425"/>
    </w:pPr>
    <w:rPr>
      <w:noProof/>
    </w:rPr>
  </w:style>
  <w:style w:type="paragraph" w:styleId="Spistreci4">
    <w:name w:val="toc 4"/>
    <w:basedOn w:val="Normalny"/>
    <w:next w:val="Normalny"/>
    <w:uiPriority w:val="39"/>
    <w:semiHidden/>
    <w:rsid w:val="00972D16"/>
    <w:pPr>
      <w:spacing w:after="100"/>
      <w:ind w:left="1276"/>
    </w:pPr>
  </w:style>
  <w:style w:type="paragraph" w:styleId="Spistreci5">
    <w:name w:val="toc 5"/>
    <w:basedOn w:val="Normalny"/>
    <w:next w:val="Normalny"/>
    <w:uiPriority w:val="39"/>
    <w:semiHidden/>
    <w:rsid w:val="00972D16"/>
    <w:pPr>
      <w:spacing w:after="100"/>
      <w:ind w:left="1701"/>
    </w:pPr>
  </w:style>
  <w:style w:type="paragraph" w:styleId="Spistreci6">
    <w:name w:val="toc 6"/>
    <w:basedOn w:val="Normalny"/>
    <w:next w:val="Normalny"/>
    <w:uiPriority w:val="39"/>
    <w:semiHidden/>
    <w:rsid w:val="00972D16"/>
    <w:pPr>
      <w:spacing w:after="100"/>
      <w:ind w:left="2126"/>
    </w:pPr>
  </w:style>
  <w:style w:type="paragraph" w:styleId="Spistreci7">
    <w:name w:val="toc 7"/>
    <w:basedOn w:val="Normalny"/>
    <w:next w:val="Normalny"/>
    <w:uiPriority w:val="39"/>
    <w:semiHidden/>
    <w:rsid w:val="00972D16"/>
    <w:pPr>
      <w:spacing w:after="100"/>
      <w:ind w:left="2552"/>
    </w:pPr>
  </w:style>
  <w:style w:type="paragraph" w:styleId="Spistreci8">
    <w:name w:val="toc 8"/>
    <w:basedOn w:val="Normalny"/>
    <w:next w:val="Normalny"/>
    <w:uiPriority w:val="39"/>
    <w:semiHidden/>
    <w:rsid w:val="00972D16"/>
    <w:pPr>
      <w:spacing w:after="100"/>
      <w:ind w:left="2977"/>
    </w:pPr>
  </w:style>
  <w:style w:type="paragraph" w:styleId="Spistreci9">
    <w:name w:val="toc 9"/>
    <w:basedOn w:val="Normalny"/>
    <w:next w:val="Normalny"/>
    <w:uiPriority w:val="39"/>
    <w:semiHidden/>
    <w:rsid w:val="00972D16"/>
    <w:pPr>
      <w:spacing w:after="100"/>
      <w:ind w:left="3402"/>
    </w:pPr>
  </w:style>
  <w:style w:type="paragraph" w:styleId="Nagwek">
    <w:name w:val="header"/>
    <w:basedOn w:val="Normalny"/>
    <w:link w:val="NagwekZnak"/>
    <w:uiPriority w:val="99"/>
    <w:rsid w:val="00852827"/>
    <w:pPr>
      <w:tabs>
        <w:tab w:val="center" w:pos="4536"/>
        <w:tab w:val="right" w:pos="9072"/>
      </w:tabs>
      <w:spacing w:after="680" w:line="240" w:lineRule="auto"/>
      <w:jc w:val="right"/>
    </w:pPr>
    <w:rPr>
      <w:sz w:val="18"/>
    </w:rPr>
  </w:style>
  <w:style w:type="character" w:customStyle="1" w:styleId="NagwekZnak">
    <w:name w:val="Nagłówek Znak"/>
    <w:basedOn w:val="Domylnaczcionkaakapitu"/>
    <w:link w:val="Nagwek"/>
    <w:uiPriority w:val="99"/>
    <w:rsid w:val="00852827"/>
    <w:rPr>
      <w:sz w:val="18"/>
      <w:lang w:val="en-US"/>
    </w:rPr>
  </w:style>
  <w:style w:type="paragraph" w:styleId="Stopka">
    <w:name w:val="footer"/>
    <w:basedOn w:val="Normalny"/>
    <w:link w:val="StopkaZnak"/>
    <w:uiPriority w:val="99"/>
    <w:rsid w:val="00ED6C6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D6C6F"/>
  </w:style>
  <w:style w:type="paragraph" w:styleId="Listapunktowana">
    <w:name w:val="List Bullet"/>
    <w:basedOn w:val="Normalny"/>
    <w:uiPriority w:val="24"/>
    <w:qFormat/>
    <w:rsid w:val="00BC5B8D"/>
    <w:pPr>
      <w:numPr>
        <w:numId w:val="19"/>
      </w:numPr>
      <w:spacing w:before="160"/>
      <w:contextualSpacing/>
    </w:pPr>
  </w:style>
  <w:style w:type="paragraph" w:styleId="Listanumerowana">
    <w:name w:val="List Number"/>
    <w:basedOn w:val="Normalny"/>
    <w:uiPriority w:val="25"/>
    <w:qFormat/>
    <w:rsid w:val="00F83198"/>
    <w:pPr>
      <w:numPr>
        <w:numId w:val="1"/>
      </w:numPr>
      <w:spacing w:before="160"/>
      <w:ind w:left="357" w:hanging="357"/>
      <w:contextualSpacing/>
    </w:pPr>
  </w:style>
  <w:style w:type="paragraph" w:styleId="Tekstprzypisudolnego">
    <w:name w:val="footnote text"/>
    <w:basedOn w:val="Normalny"/>
    <w:link w:val="TekstprzypisudolnegoZnak"/>
    <w:uiPriority w:val="99"/>
    <w:rsid w:val="009560E1"/>
    <w:pPr>
      <w:spacing w:before="60" w:after="60" w:line="240" w:lineRule="auto"/>
      <w:ind w:left="142" w:hanging="142"/>
    </w:pPr>
    <w:rPr>
      <w:sz w:val="16"/>
      <w:szCs w:val="20"/>
    </w:rPr>
  </w:style>
  <w:style w:type="character" w:customStyle="1" w:styleId="TekstprzypisudolnegoZnak">
    <w:name w:val="Tekst przypisu dolnego Znak"/>
    <w:basedOn w:val="Domylnaczcionkaakapitu"/>
    <w:link w:val="Tekstprzypisudolnego"/>
    <w:uiPriority w:val="99"/>
    <w:rsid w:val="009560E1"/>
    <w:rPr>
      <w:sz w:val="16"/>
      <w:szCs w:val="20"/>
      <w:lang w:val="en-US"/>
    </w:rPr>
  </w:style>
  <w:style w:type="character" w:styleId="Odwoanieprzypisudolnego">
    <w:name w:val="footnote reference"/>
    <w:basedOn w:val="Domylnaczcionkaakapitu"/>
    <w:uiPriority w:val="99"/>
    <w:rsid w:val="00AD5832"/>
    <w:rPr>
      <w:vertAlign w:val="superscript"/>
    </w:rPr>
  </w:style>
  <w:style w:type="table" w:styleId="Tabela-Siatka">
    <w:name w:val="Table Grid"/>
    <w:basedOn w:val="Standardowy"/>
    <w:rsid w:val="009760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rsid w:val="00976057"/>
    <w:rPr>
      <w:color w:val="0563C1" w:themeColor="hyperlink"/>
      <w:u w:val="single"/>
    </w:rPr>
  </w:style>
  <w:style w:type="paragraph" w:styleId="Akapitzlist">
    <w:name w:val="List Paragraph"/>
    <w:basedOn w:val="Normalny"/>
    <w:uiPriority w:val="34"/>
    <w:rsid w:val="00481060"/>
    <w:pPr>
      <w:ind w:left="720"/>
      <w:contextualSpacing/>
    </w:pPr>
  </w:style>
  <w:style w:type="paragraph" w:styleId="Listanumerowana2">
    <w:name w:val="List Number 2"/>
    <w:basedOn w:val="Listanumerowana"/>
    <w:uiPriority w:val="25"/>
    <w:rsid w:val="00F83198"/>
    <w:pPr>
      <w:numPr>
        <w:ilvl w:val="1"/>
      </w:numPr>
      <w:ind w:left="714" w:hanging="357"/>
    </w:pPr>
  </w:style>
  <w:style w:type="paragraph" w:styleId="Listanumerowana3">
    <w:name w:val="List Number 3"/>
    <w:basedOn w:val="Listanumerowana2"/>
    <w:uiPriority w:val="25"/>
    <w:rsid w:val="009E7F82"/>
    <w:pPr>
      <w:numPr>
        <w:ilvl w:val="2"/>
      </w:numPr>
    </w:pPr>
  </w:style>
  <w:style w:type="paragraph" w:styleId="Listanumerowana4">
    <w:name w:val="List Number 4"/>
    <w:basedOn w:val="Listanumerowana3"/>
    <w:uiPriority w:val="25"/>
    <w:semiHidden/>
    <w:rsid w:val="009E7F82"/>
    <w:pPr>
      <w:numPr>
        <w:ilvl w:val="3"/>
      </w:numPr>
    </w:pPr>
  </w:style>
  <w:style w:type="paragraph" w:styleId="Listanumerowana5">
    <w:name w:val="List Number 5"/>
    <w:basedOn w:val="Listanumerowana4"/>
    <w:uiPriority w:val="25"/>
    <w:semiHidden/>
    <w:rsid w:val="009E7F82"/>
    <w:pPr>
      <w:numPr>
        <w:ilvl w:val="4"/>
      </w:numPr>
    </w:pPr>
  </w:style>
  <w:style w:type="paragraph" w:styleId="Listapunktowana2">
    <w:name w:val="List Bullet 2"/>
    <w:basedOn w:val="Listapunktowana"/>
    <w:uiPriority w:val="24"/>
    <w:rsid w:val="0091216A"/>
    <w:pPr>
      <w:numPr>
        <w:ilvl w:val="1"/>
      </w:numPr>
    </w:pPr>
  </w:style>
  <w:style w:type="paragraph" w:styleId="Listapunktowana3">
    <w:name w:val="List Bullet 3"/>
    <w:basedOn w:val="Listapunktowana2"/>
    <w:uiPriority w:val="24"/>
    <w:rsid w:val="0091216A"/>
    <w:pPr>
      <w:numPr>
        <w:ilvl w:val="2"/>
      </w:numPr>
    </w:pPr>
  </w:style>
  <w:style w:type="paragraph" w:styleId="Listapunktowana4">
    <w:name w:val="List Bullet 4"/>
    <w:basedOn w:val="Listapunktowana3"/>
    <w:uiPriority w:val="24"/>
    <w:semiHidden/>
    <w:rsid w:val="009E7F82"/>
    <w:pPr>
      <w:numPr>
        <w:ilvl w:val="3"/>
      </w:numPr>
    </w:pPr>
  </w:style>
  <w:style w:type="paragraph" w:styleId="Listapunktowana5">
    <w:name w:val="List Bullet 5"/>
    <w:basedOn w:val="Listapunktowana4"/>
    <w:uiPriority w:val="24"/>
    <w:semiHidden/>
    <w:rsid w:val="009E7F82"/>
    <w:pPr>
      <w:numPr>
        <w:ilvl w:val="4"/>
      </w:numPr>
    </w:pPr>
  </w:style>
  <w:style w:type="paragraph" w:styleId="Tekstprzypisukocowego">
    <w:name w:val="endnote text"/>
    <w:basedOn w:val="Normalny"/>
    <w:link w:val="TekstprzypisukocowegoZnak"/>
    <w:uiPriority w:val="99"/>
    <w:unhideWhenUsed/>
    <w:rsid w:val="00783074"/>
    <w:pPr>
      <w:spacing w:after="0" w:line="240" w:lineRule="auto"/>
      <w:ind w:left="142" w:hanging="142"/>
    </w:pPr>
    <w:rPr>
      <w:sz w:val="16"/>
      <w:szCs w:val="20"/>
    </w:rPr>
  </w:style>
  <w:style w:type="character" w:customStyle="1" w:styleId="TekstprzypisukocowegoZnak">
    <w:name w:val="Tekst przypisu końcowego Znak"/>
    <w:basedOn w:val="Domylnaczcionkaakapitu"/>
    <w:link w:val="Tekstprzypisukocowego"/>
    <w:uiPriority w:val="99"/>
    <w:rsid w:val="00783074"/>
    <w:rPr>
      <w:sz w:val="16"/>
      <w:szCs w:val="20"/>
    </w:rPr>
  </w:style>
  <w:style w:type="character" w:styleId="Odwoanieprzypisukocowego">
    <w:name w:val="endnote reference"/>
    <w:basedOn w:val="Domylnaczcionkaakapitu"/>
    <w:uiPriority w:val="99"/>
    <w:semiHidden/>
    <w:rsid w:val="00783074"/>
    <w:rPr>
      <w:vertAlign w:val="superscript"/>
    </w:rPr>
  </w:style>
  <w:style w:type="paragraph" w:customStyle="1" w:styleId="Doldtext">
    <w:name w:val="Dold text"/>
    <w:basedOn w:val="Normalny"/>
    <w:next w:val="Normalny"/>
    <w:uiPriority w:val="24"/>
    <w:semiHidden/>
    <w:qFormat/>
    <w:rsid w:val="004E0B05"/>
    <w:rPr>
      <w:vanish/>
      <w:color w:val="C00000"/>
    </w:rPr>
  </w:style>
  <w:style w:type="character" w:styleId="Tekstzastpczy">
    <w:name w:val="Placeholder Text"/>
    <w:basedOn w:val="Domylnaczcionkaakapitu"/>
    <w:uiPriority w:val="99"/>
    <w:rsid w:val="006137D6"/>
    <w:rPr>
      <w:color w:val="7F7F7F" w:themeColor="text1" w:themeTint="80"/>
      <w:bdr w:val="none" w:sz="0" w:space="0" w:color="auto"/>
      <w:shd w:val="clear" w:color="auto" w:fill="F0F0F0"/>
    </w:rPr>
  </w:style>
  <w:style w:type="paragraph" w:customStyle="1" w:styleId="Numreradrubrik1">
    <w:name w:val="Numrerad rubrik 1"/>
    <w:basedOn w:val="Nagwek1"/>
    <w:next w:val="Normalny"/>
    <w:uiPriority w:val="19"/>
    <w:semiHidden/>
    <w:rsid w:val="00AA5C9A"/>
    <w:pPr>
      <w:numPr>
        <w:numId w:val="14"/>
      </w:numPr>
    </w:pPr>
  </w:style>
  <w:style w:type="paragraph" w:customStyle="1" w:styleId="Numreradrubrik2">
    <w:name w:val="Numrerad rubrik 2"/>
    <w:basedOn w:val="Nagwek2"/>
    <w:next w:val="Normalny"/>
    <w:uiPriority w:val="19"/>
    <w:semiHidden/>
    <w:rsid w:val="00AA5C9A"/>
    <w:pPr>
      <w:numPr>
        <w:ilvl w:val="1"/>
        <w:numId w:val="14"/>
      </w:numPr>
    </w:pPr>
  </w:style>
  <w:style w:type="paragraph" w:customStyle="1" w:styleId="Numreradrubrik3">
    <w:name w:val="Numrerad rubrik 3"/>
    <w:basedOn w:val="Nagwek3"/>
    <w:next w:val="Normalny"/>
    <w:uiPriority w:val="19"/>
    <w:semiHidden/>
    <w:rsid w:val="00AA5C9A"/>
    <w:pPr>
      <w:numPr>
        <w:ilvl w:val="2"/>
        <w:numId w:val="14"/>
      </w:numPr>
    </w:pPr>
  </w:style>
  <w:style w:type="paragraph" w:customStyle="1" w:styleId="Numreradrubrik4">
    <w:name w:val="Numrerad rubrik 4"/>
    <w:basedOn w:val="Nagwek4"/>
    <w:next w:val="Normalny"/>
    <w:uiPriority w:val="19"/>
    <w:semiHidden/>
    <w:rsid w:val="00AA5C9A"/>
    <w:pPr>
      <w:numPr>
        <w:ilvl w:val="3"/>
        <w:numId w:val="14"/>
      </w:numPr>
    </w:pPr>
  </w:style>
  <w:style w:type="paragraph" w:styleId="Adresnakopercie">
    <w:name w:val="envelope address"/>
    <w:basedOn w:val="Normalny"/>
    <w:uiPriority w:val="99"/>
    <w:rsid w:val="00CC3124"/>
    <w:pPr>
      <w:spacing w:after="720" w:line="264" w:lineRule="auto"/>
      <w:ind w:left="4253"/>
      <w:contextualSpacing/>
    </w:pPr>
    <w:rPr>
      <w:noProof/>
    </w:rPr>
  </w:style>
  <w:style w:type="paragraph" w:styleId="Zwrotpoegnalny">
    <w:name w:val="Closing"/>
    <w:basedOn w:val="Normalny"/>
    <w:next w:val="Normalny"/>
    <w:link w:val="ZwrotpoegnalnyZnak"/>
    <w:uiPriority w:val="99"/>
    <w:rsid w:val="00A87B49"/>
    <w:pPr>
      <w:spacing w:after="800" w:line="240" w:lineRule="auto"/>
      <w:contextualSpacing/>
    </w:pPr>
  </w:style>
  <w:style w:type="character" w:customStyle="1" w:styleId="ZwrotpoegnalnyZnak">
    <w:name w:val="Zwrot pożegnalny Znak"/>
    <w:basedOn w:val="Domylnaczcionkaakapitu"/>
    <w:link w:val="Zwrotpoegnalny"/>
    <w:uiPriority w:val="99"/>
    <w:rsid w:val="00A87B49"/>
    <w:rPr>
      <w:lang w:val="en-GB"/>
    </w:rPr>
  </w:style>
  <w:style w:type="paragraph" w:styleId="Zwrotgrzecznociowy">
    <w:name w:val="Salutation"/>
    <w:basedOn w:val="Normalny"/>
    <w:next w:val="Normalny"/>
    <w:link w:val="ZwrotgrzecznociowyZnak"/>
    <w:uiPriority w:val="36"/>
    <w:rsid w:val="00644047"/>
    <w:pPr>
      <w:spacing w:line="280" w:lineRule="atLeast"/>
    </w:pPr>
    <w:rPr>
      <w:b/>
    </w:rPr>
  </w:style>
  <w:style w:type="character" w:customStyle="1" w:styleId="ZwrotgrzecznociowyZnak">
    <w:name w:val="Zwrot grzecznościowy Znak"/>
    <w:basedOn w:val="Domylnaczcionkaakapitu"/>
    <w:link w:val="Zwrotgrzecznociowy"/>
    <w:uiPriority w:val="36"/>
    <w:rsid w:val="00644047"/>
    <w:rPr>
      <w:b/>
      <w:sz w:val="22"/>
      <w:lang w:val="en-US"/>
    </w:rPr>
  </w:style>
  <w:style w:type="paragraph" w:customStyle="1" w:styleId="Klla">
    <w:name w:val="Källa"/>
    <w:basedOn w:val="Normalny"/>
    <w:next w:val="Normalny"/>
    <w:uiPriority w:val="26"/>
    <w:rsid w:val="00AB5266"/>
    <w:pPr>
      <w:spacing w:before="80" w:line="240" w:lineRule="auto"/>
    </w:pPr>
    <w:rPr>
      <w:sz w:val="16"/>
    </w:rPr>
  </w:style>
  <w:style w:type="character" w:styleId="Numerstrony">
    <w:name w:val="page number"/>
    <w:basedOn w:val="Domylnaczcionkaakapitu"/>
    <w:uiPriority w:val="8"/>
    <w:unhideWhenUsed/>
    <w:rsid w:val="00152B7C"/>
    <w:rPr>
      <w:rFonts w:asciiTheme="majorHAnsi" w:hAnsiTheme="majorHAnsi" w:cs="Times New Roman"/>
      <w:color w:val="000000" w:themeColor="text1"/>
      <w:sz w:val="18"/>
    </w:rPr>
  </w:style>
  <w:style w:type="character" w:styleId="Odwoaniedokomentarza">
    <w:name w:val="annotation reference"/>
    <w:basedOn w:val="Domylnaczcionkaakapitu"/>
    <w:uiPriority w:val="99"/>
    <w:semiHidden/>
    <w:rsid w:val="00DB003F"/>
    <w:rPr>
      <w:sz w:val="16"/>
      <w:szCs w:val="16"/>
    </w:rPr>
  </w:style>
  <w:style w:type="paragraph" w:styleId="Tekstkomentarza">
    <w:name w:val="annotation text"/>
    <w:basedOn w:val="Normalny"/>
    <w:link w:val="TekstkomentarzaZnak"/>
    <w:uiPriority w:val="99"/>
    <w:semiHidden/>
    <w:rsid w:val="00DB003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B003F"/>
    <w:rPr>
      <w:sz w:val="20"/>
      <w:szCs w:val="20"/>
    </w:rPr>
  </w:style>
  <w:style w:type="paragraph" w:styleId="Tematkomentarza">
    <w:name w:val="annotation subject"/>
    <w:basedOn w:val="Tekstkomentarza"/>
    <w:next w:val="Tekstkomentarza"/>
    <w:link w:val="TematkomentarzaZnak"/>
    <w:uiPriority w:val="99"/>
    <w:semiHidden/>
    <w:rsid w:val="00DB003F"/>
    <w:rPr>
      <w:b/>
      <w:bCs/>
    </w:rPr>
  </w:style>
  <w:style w:type="character" w:customStyle="1" w:styleId="TematkomentarzaZnak">
    <w:name w:val="Temat komentarza Znak"/>
    <w:basedOn w:val="TekstkomentarzaZnak"/>
    <w:link w:val="Tematkomentarza"/>
    <w:uiPriority w:val="99"/>
    <w:semiHidden/>
    <w:rsid w:val="00DB003F"/>
    <w:rPr>
      <w:b/>
      <w:bCs/>
      <w:sz w:val="20"/>
      <w:szCs w:val="20"/>
    </w:rPr>
  </w:style>
  <w:style w:type="paragraph" w:styleId="Poprawka">
    <w:name w:val="Revision"/>
    <w:hidden/>
    <w:uiPriority w:val="99"/>
    <w:semiHidden/>
    <w:rsid w:val="00BF5AE6"/>
    <w:pPr>
      <w:spacing w:after="0" w:line="240" w:lineRule="auto"/>
    </w:pPr>
  </w:style>
  <w:style w:type="character" w:customStyle="1" w:styleId="Olstomnmnande1">
    <w:name w:val="Olöst omnämnande1"/>
    <w:basedOn w:val="Domylnaczcionkaakapitu"/>
    <w:uiPriority w:val="99"/>
    <w:semiHidden/>
    <w:unhideWhenUsed/>
    <w:rsid w:val="00C2096D"/>
    <w:rPr>
      <w:color w:val="605E5C"/>
      <w:shd w:val="clear" w:color="auto" w:fill="E1DFDD"/>
    </w:rPr>
  </w:style>
  <w:style w:type="paragraph" w:styleId="Tekstdymka">
    <w:name w:val="Balloon Text"/>
    <w:basedOn w:val="Normalny"/>
    <w:link w:val="TekstdymkaZnak"/>
    <w:uiPriority w:val="99"/>
    <w:semiHidden/>
    <w:unhideWhenUsed/>
    <w:rsid w:val="004C7CC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C7CCF"/>
    <w:rPr>
      <w:rFonts w:ascii="Segoe UI" w:hAnsi="Segoe UI" w:cs="Segoe UI"/>
      <w:sz w:val="18"/>
      <w:szCs w:val="18"/>
    </w:rPr>
  </w:style>
  <w:style w:type="paragraph" w:customStyle="1" w:styleId="Default">
    <w:name w:val="Default"/>
    <w:rsid w:val="00DF5A7E"/>
    <w:pPr>
      <w:autoSpaceDE w:val="0"/>
      <w:autoSpaceDN w:val="0"/>
      <w:adjustRightInd w:val="0"/>
      <w:spacing w:after="0" w:line="240" w:lineRule="auto"/>
    </w:pPr>
    <w:rPr>
      <w:rFonts w:ascii="Calibri" w:hAnsi="Calibri" w:cs="Calibri"/>
      <w:color w:val="000000"/>
      <w:sz w:val="24"/>
      <w:szCs w:val="24"/>
      <w:lang w:val="pl-PL"/>
    </w:rPr>
  </w:style>
  <w:style w:type="character" w:customStyle="1" w:styleId="Olstomnmnande2">
    <w:name w:val="Olöst omnämnande2"/>
    <w:basedOn w:val="Domylnaczcionkaakapitu"/>
    <w:uiPriority w:val="99"/>
    <w:semiHidden/>
    <w:unhideWhenUsed/>
    <w:rsid w:val="001F4A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22253">
      <w:bodyDiv w:val="1"/>
      <w:marLeft w:val="0"/>
      <w:marRight w:val="0"/>
      <w:marTop w:val="0"/>
      <w:marBottom w:val="0"/>
      <w:divBdr>
        <w:top w:val="none" w:sz="0" w:space="0" w:color="auto"/>
        <w:left w:val="none" w:sz="0" w:space="0" w:color="auto"/>
        <w:bottom w:val="none" w:sz="0" w:space="0" w:color="auto"/>
        <w:right w:val="none" w:sz="0" w:space="0" w:color="auto"/>
      </w:divBdr>
    </w:div>
    <w:div w:id="143855029">
      <w:bodyDiv w:val="1"/>
      <w:marLeft w:val="0"/>
      <w:marRight w:val="0"/>
      <w:marTop w:val="0"/>
      <w:marBottom w:val="0"/>
      <w:divBdr>
        <w:top w:val="none" w:sz="0" w:space="0" w:color="auto"/>
        <w:left w:val="none" w:sz="0" w:space="0" w:color="auto"/>
        <w:bottom w:val="none" w:sz="0" w:space="0" w:color="auto"/>
        <w:right w:val="none" w:sz="0" w:space="0" w:color="auto"/>
      </w:divBdr>
    </w:div>
    <w:div w:id="173570422">
      <w:bodyDiv w:val="1"/>
      <w:marLeft w:val="0"/>
      <w:marRight w:val="0"/>
      <w:marTop w:val="0"/>
      <w:marBottom w:val="0"/>
      <w:divBdr>
        <w:top w:val="none" w:sz="0" w:space="0" w:color="auto"/>
        <w:left w:val="none" w:sz="0" w:space="0" w:color="auto"/>
        <w:bottom w:val="none" w:sz="0" w:space="0" w:color="auto"/>
        <w:right w:val="none" w:sz="0" w:space="0" w:color="auto"/>
      </w:divBdr>
    </w:div>
    <w:div w:id="249001286">
      <w:bodyDiv w:val="1"/>
      <w:marLeft w:val="0"/>
      <w:marRight w:val="0"/>
      <w:marTop w:val="0"/>
      <w:marBottom w:val="0"/>
      <w:divBdr>
        <w:top w:val="none" w:sz="0" w:space="0" w:color="auto"/>
        <w:left w:val="none" w:sz="0" w:space="0" w:color="auto"/>
        <w:bottom w:val="none" w:sz="0" w:space="0" w:color="auto"/>
        <w:right w:val="none" w:sz="0" w:space="0" w:color="auto"/>
      </w:divBdr>
    </w:div>
    <w:div w:id="259685795">
      <w:bodyDiv w:val="1"/>
      <w:marLeft w:val="0"/>
      <w:marRight w:val="0"/>
      <w:marTop w:val="0"/>
      <w:marBottom w:val="0"/>
      <w:divBdr>
        <w:top w:val="none" w:sz="0" w:space="0" w:color="auto"/>
        <w:left w:val="none" w:sz="0" w:space="0" w:color="auto"/>
        <w:bottom w:val="none" w:sz="0" w:space="0" w:color="auto"/>
        <w:right w:val="none" w:sz="0" w:space="0" w:color="auto"/>
      </w:divBdr>
    </w:div>
    <w:div w:id="303122382">
      <w:bodyDiv w:val="1"/>
      <w:marLeft w:val="0"/>
      <w:marRight w:val="0"/>
      <w:marTop w:val="0"/>
      <w:marBottom w:val="0"/>
      <w:divBdr>
        <w:top w:val="none" w:sz="0" w:space="0" w:color="auto"/>
        <w:left w:val="none" w:sz="0" w:space="0" w:color="auto"/>
        <w:bottom w:val="none" w:sz="0" w:space="0" w:color="auto"/>
        <w:right w:val="none" w:sz="0" w:space="0" w:color="auto"/>
      </w:divBdr>
    </w:div>
    <w:div w:id="319314408">
      <w:bodyDiv w:val="1"/>
      <w:marLeft w:val="0"/>
      <w:marRight w:val="0"/>
      <w:marTop w:val="0"/>
      <w:marBottom w:val="0"/>
      <w:divBdr>
        <w:top w:val="none" w:sz="0" w:space="0" w:color="auto"/>
        <w:left w:val="none" w:sz="0" w:space="0" w:color="auto"/>
        <w:bottom w:val="none" w:sz="0" w:space="0" w:color="auto"/>
        <w:right w:val="none" w:sz="0" w:space="0" w:color="auto"/>
      </w:divBdr>
    </w:div>
    <w:div w:id="442460987">
      <w:bodyDiv w:val="1"/>
      <w:marLeft w:val="0"/>
      <w:marRight w:val="0"/>
      <w:marTop w:val="0"/>
      <w:marBottom w:val="0"/>
      <w:divBdr>
        <w:top w:val="none" w:sz="0" w:space="0" w:color="auto"/>
        <w:left w:val="none" w:sz="0" w:space="0" w:color="auto"/>
        <w:bottom w:val="none" w:sz="0" w:space="0" w:color="auto"/>
        <w:right w:val="none" w:sz="0" w:space="0" w:color="auto"/>
      </w:divBdr>
    </w:div>
    <w:div w:id="446580536">
      <w:bodyDiv w:val="1"/>
      <w:marLeft w:val="0"/>
      <w:marRight w:val="0"/>
      <w:marTop w:val="0"/>
      <w:marBottom w:val="0"/>
      <w:divBdr>
        <w:top w:val="none" w:sz="0" w:space="0" w:color="auto"/>
        <w:left w:val="none" w:sz="0" w:space="0" w:color="auto"/>
        <w:bottom w:val="none" w:sz="0" w:space="0" w:color="auto"/>
        <w:right w:val="none" w:sz="0" w:space="0" w:color="auto"/>
      </w:divBdr>
    </w:div>
    <w:div w:id="573734392">
      <w:bodyDiv w:val="1"/>
      <w:marLeft w:val="0"/>
      <w:marRight w:val="0"/>
      <w:marTop w:val="0"/>
      <w:marBottom w:val="0"/>
      <w:divBdr>
        <w:top w:val="none" w:sz="0" w:space="0" w:color="auto"/>
        <w:left w:val="none" w:sz="0" w:space="0" w:color="auto"/>
        <w:bottom w:val="none" w:sz="0" w:space="0" w:color="auto"/>
        <w:right w:val="none" w:sz="0" w:space="0" w:color="auto"/>
      </w:divBdr>
    </w:div>
    <w:div w:id="852376865">
      <w:bodyDiv w:val="1"/>
      <w:marLeft w:val="0"/>
      <w:marRight w:val="0"/>
      <w:marTop w:val="0"/>
      <w:marBottom w:val="0"/>
      <w:divBdr>
        <w:top w:val="none" w:sz="0" w:space="0" w:color="auto"/>
        <w:left w:val="none" w:sz="0" w:space="0" w:color="auto"/>
        <w:bottom w:val="none" w:sz="0" w:space="0" w:color="auto"/>
        <w:right w:val="none" w:sz="0" w:space="0" w:color="auto"/>
      </w:divBdr>
    </w:div>
    <w:div w:id="997921929">
      <w:bodyDiv w:val="1"/>
      <w:marLeft w:val="0"/>
      <w:marRight w:val="0"/>
      <w:marTop w:val="0"/>
      <w:marBottom w:val="0"/>
      <w:divBdr>
        <w:top w:val="none" w:sz="0" w:space="0" w:color="auto"/>
        <w:left w:val="none" w:sz="0" w:space="0" w:color="auto"/>
        <w:bottom w:val="none" w:sz="0" w:space="0" w:color="auto"/>
        <w:right w:val="none" w:sz="0" w:space="0" w:color="auto"/>
      </w:divBdr>
    </w:div>
    <w:div w:id="1046951848">
      <w:bodyDiv w:val="1"/>
      <w:marLeft w:val="0"/>
      <w:marRight w:val="0"/>
      <w:marTop w:val="0"/>
      <w:marBottom w:val="0"/>
      <w:divBdr>
        <w:top w:val="none" w:sz="0" w:space="0" w:color="auto"/>
        <w:left w:val="none" w:sz="0" w:space="0" w:color="auto"/>
        <w:bottom w:val="none" w:sz="0" w:space="0" w:color="auto"/>
        <w:right w:val="none" w:sz="0" w:space="0" w:color="auto"/>
      </w:divBdr>
    </w:div>
    <w:div w:id="1146970162">
      <w:bodyDiv w:val="1"/>
      <w:marLeft w:val="0"/>
      <w:marRight w:val="0"/>
      <w:marTop w:val="0"/>
      <w:marBottom w:val="0"/>
      <w:divBdr>
        <w:top w:val="none" w:sz="0" w:space="0" w:color="auto"/>
        <w:left w:val="none" w:sz="0" w:space="0" w:color="auto"/>
        <w:bottom w:val="none" w:sz="0" w:space="0" w:color="auto"/>
        <w:right w:val="none" w:sz="0" w:space="0" w:color="auto"/>
      </w:divBdr>
    </w:div>
    <w:div w:id="1185484412">
      <w:bodyDiv w:val="1"/>
      <w:marLeft w:val="0"/>
      <w:marRight w:val="0"/>
      <w:marTop w:val="0"/>
      <w:marBottom w:val="0"/>
      <w:divBdr>
        <w:top w:val="none" w:sz="0" w:space="0" w:color="auto"/>
        <w:left w:val="none" w:sz="0" w:space="0" w:color="auto"/>
        <w:bottom w:val="none" w:sz="0" w:space="0" w:color="auto"/>
        <w:right w:val="none" w:sz="0" w:space="0" w:color="auto"/>
      </w:divBdr>
    </w:div>
    <w:div w:id="1339768360">
      <w:bodyDiv w:val="1"/>
      <w:marLeft w:val="0"/>
      <w:marRight w:val="0"/>
      <w:marTop w:val="0"/>
      <w:marBottom w:val="0"/>
      <w:divBdr>
        <w:top w:val="none" w:sz="0" w:space="0" w:color="auto"/>
        <w:left w:val="none" w:sz="0" w:space="0" w:color="auto"/>
        <w:bottom w:val="none" w:sz="0" w:space="0" w:color="auto"/>
        <w:right w:val="none" w:sz="0" w:space="0" w:color="auto"/>
      </w:divBdr>
    </w:div>
    <w:div w:id="1353844042">
      <w:bodyDiv w:val="1"/>
      <w:marLeft w:val="0"/>
      <w:marRight w:val="0"/>
      <w:marTop w:val="0"/>
      <w:marBottom w:val="0"/>
      <w:divBdr>
        <w:top w:val="none" w:sz="0" w:space="0" w:color="auto"/>
        <w:left w:val="none" w:sz="0" w:space="0" w:color="auto"/>
        <w:bottom w:val="none" w:sz="0" w:space="0" w:color="auto"/>
        <w:right w:val="none" w:sz="0" w:space="0" w:color="auto"/>
      </w:divBdr>
    </w:div>
    <w:div w:id="1373726937">
      <w:bodyDiv w:val="1"/>
      <w:marLeft w:val="0"/>
      <w:marRight w:val="0"/>
      <w:marTop w:val="0"/>
      <w:marBottom w:val="0"/>
      <w:divBdr>
        <w:top w:val="none" w:sz="0" w:space="0" w:color="auto"/>
        <w:left w:val="none" w:sz="0" w:space="0" w:color="auto"/>
        <w:bottom w:val="none" w:sz="0" w:space="0" w:color="auto"/>
        <w:right w:val="none" w:sz="0" w:space="0" w:color="auto"/>
      </w:divBdr>
    </w:div>
    <w:div w:id="1440954855">
      <w:bodyDiv w:val="1"/>
      <w:marLeft w:val="0"/>
      <w:marRight w:val="0"/>
      <w:marTop w:val="0"/>
      <w:marBottom w:val="0"/>
      <w:divBdr>
        <w:top w:val="none" w:sz="0" w:space="0" w:color="auto"/>
        <w:left w:val="none" w:sz="0" w:space="0" w:color="auto"/>
        <w:bottom w:val="none" w:sz="0" w:space="0" w:color="auto"/>
        <w:right w:val="none" w:sz="0" w:space="0" w:color="auto"/>
      </w:divBdr>
    </w:div>
    <w:div w:id="1460800674">
      <w:bodyDiv w:val="1"/>
      <w:marLeft w:val="0"/>
      <w:marRight w:val="0"/>
      <w:marTop w:val="0"/>
      <w:marBottom w:val="0"/>
      <w:divBdr>
        <w:top w:val="none" w:sz="0" w:space="0" w:color="auto"/>
        <w:left w:val="none" w:sz="0" w:space="0" w:color="auto"/>
        <w:bottom w:val="none" w:sz="0" w:space="0" w:color="auto"/>
        <w:right w:val="none" w:sz="0" w:space="0" w:color="auto"/>
      </w:divBdr>
    </w:div>
    <w:div w:id="1634678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yperlink" Target="https://doi.org/10.17895/ices.advice.26868907"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3.xm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HavVatten_Colors">
      <a:dk1>
        <a:sysClr val="windowText" lastClr="000000"/>
      </a:dk1>
      <a:lt1>
        <a:sysClr val="window" lastClr="FFFFFF"/>
      </a:lt1>
      <a:dk2>
        <a:srgbClr val="44546A"/>
      </a:dk2>
      <a:lt2>
        <a:srgbClr val="E7E6E6"/>
      </a:lt2>
      <a:accent1>
        <a:srgbClr val="005F88"/>
      </a:accent1>
      <a:accent2>
        <a:srgbClr val="D1B738"/>
      </a:accent2>
      <a:accent3>
        <a:srgbClr val="092D4B"/>
      </a:accent3>
      <a:accent4>
        <a:srgbClr val="3B847B"/>
      </a:accent4>
      <a:accent5>
        <a:srgbClr val="E9EDED"/>
      </a:accent5>
      <a:accent6>
        <a:srgbClr val="00594F"/>
      </a:accent6>
      <a:hlink>
        <a:srgbClr val="0563C1"/>
      </a:hlink>
      <a:folHlink>
        <a:srgbClr val="954F72"/>
      </a:folHlink>
    </a:clrScheme>
    <a:fontScheme name="Havs och Vattenmyndigheten_Font">
      <a:majorFont>
        <a:latin typeface="Arial"/>
        <a:ea typeface=""/>
        <a:cs typeface="Times New Roman"/>
      </a:majorFont>
      <a:minorFont>
        <a:latin typeface="Aria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93590CF7D055442B35DC4927644088B" ma:contentTypeVersion="8" ma:contentTypeDescription="Skapa ett nytt dokument." ma:contentTypeScope="" ma:versionID="38fc3a5e8305c66b3e1b47f7c8a28fd3">
  <xsd:schema xmlns:xsd="http://www.w3.org/2001/XMLSchema" xmlns:xs="http://www.w3.org/2001/XMLSchema" xmlns:p="http://schemas.microsoft.com/office/2006/metadata/properties" xmlns:ns2="35670e95-d5a3-4c2b-9f0d-a339565e4e06" xmlns:ns3="14719275-4012-4a8c-9346-08822a9b8dcf" xmlns:ns5="cc625d36-bb37-4650-91b9-0c96159295ba" targetNamespace="http://schemas.microsoft.com/office/2006/metadata/properties" ma:root="true" ma:fieldsID="03394fd15da9f8a05de32c5926795a1f" ns2:_="" ns3:_="" ns5:_="">
    <xsd:import namespace="35670e95-d5a3-4c2b-9f0d-a339565e4e06"/>
    <xsd:import namespace="14719275-4012-4a8c-9346-08822a9b8dcf"/>
    <xsd:import namespace="cc625d36-bb37-4650-91b9-0c96159295ba"/>
    <xsd:element name="properties">
      <xsd:complexType>
        <xsd:sequence>
          <xsd:element name="documentManagement">
            <xsd:complexType>
              <xsd:all>
                <xsd:element ref="ns2:_dlc_DocId" minOccurs="0"/>
                <xsd:element ref="ns2:_dlc_DocIdUrl" minOccurs="0"/>
                <xsd:element ref="ns2:_dlc_DocIdPersistId" minOccurs="0"/>
                <xsd:element ref="ns3:RKOrdnaClass" minOccurs="0"/>
                <xsd:element ref="ns3:RKOrdnaCheckInComment" minOccurs="0"/>
                <xsd:element ref="ns5:TaxCatchAll" minOccurs="0"/>
                <xsd:element ref="ns5:k46d94c0acf84ab9a79866a9d8b1905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670e95-d5a3-4c2b-9f0d-a339565e4e06" elementFormDefault="qualified">
    <xsd:import namespace="http://schemas.microsoft.com/office/2006/documentManagement/types"/>
    <xsd:import namespace="http://schemas.microsoft.com/office/infopath/2007/PartnerControls"/>
    <xsd:element name="_dlc_DocId" ma:index="4" nillable="true" ma:displayName="Dokument-ID-värde" ma:description="Värdet för dokument-ID som tilldelats till det här objektet." ma:internalName="_dlc_DocId" ma:readOnly="true">
      <xsd:simpleType>
        <xsd:restriction base="dms:Text"/>
      </xsd:simpleType>
    </xsd:element>
    <xsd:element name="_dlc_DocIdUrl" ma:index="5" nillable="true" ma:displayName="Dokument-ID" ma:description="Permanent länk till det här dokumente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Spara ID" ma:description="Behåll ID vid tillägg."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4719275-4012-4a8c-9346-08822a9b8dcf" elementFormDefault="qualified">
    <xsd:import namespace="http://schemas.microsoft.com/office/2006/documentManagement/types"/>
    <xsd:import namespace="http://schemas.microsoft.com/office/infopath/2007/PartnerControls"/>
    <xsd:element name="RKOrdnaClass" ma:index="7" nillable="true" ma:displayName="RKOrdnaClass" ma:internalName="RKOrdnaClass">
      <xsd:simpleType>
        <xsd:restriction base="dms:Text"/>
      </xsd:simpleType>
    </xsd:element>
    <xsd:element name="RKOrdnaCheckInComment" ma:index="9" nillable="true" ma:displayName="RKOrdnaCheckInComment" ma:internalName="RKOrdnaCheckInCommen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625d36-bb37-4650-91b9-0c96159295ba" elementFormDefault="qualified">
    <xsd:import namespace="http://schemas.microsoft.com/office/2006/documentManagement/types"/>
    <xsd:import namespace="http://schemas.microsoft.com/office/infopath/2007/PartnerControls"/>
    <xsd:element name="TaxCatchAll" ma:index="10" nillable="true" ma:displayName="Global taxonomikolumn" ma:hidden="true" ma:list="{3a2eb130-6bb3-4ee5-a9c7-04d4e81a5cd7}" ma:internalName="TaxCatchAll" ma:readOnly="false" ma:showField="CatchAllData" ma:web="a2816045-535c-4f1b-be72-bd4d6162c447">
      <xsd:complexType>
        <xsd:complexContent>
          <xsd:extension base="dms:MultiChoiceLookup">
            <xsd:sequence>
              <xsd:element name="Value" type="dms:Lookup" maxOccurs="unbounded" minOccurs="0" nillable="true"/>
            </xsd:sequence>
          </xsd:extension>
        </xsd:complexContent>
      </xsd:complexType>
    </xsd:element>
    <xsd:element name="k46d94c0acf84ab9a79866a9d8b1905f" ma:index="15" nillable="true" ma:displayName="Organisatorisk enhet_0" ma:hidden="true" ma:internalName="k46d94c0acf84ab9a79866a9d8b1905f">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Innehållstyp"/>
        <xsd:element ref="dc:title" minOccurs="0" maxOccurs="1" ma:index="3"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ma:index="8" ma:displayName="Kategori"/>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cc625d36-bb37-4650-91b9-0c96159295ba"/>
    <RKOrdnaClass xmlns="14719275-4012-4a8c-9346-08822a9b8dcf" xsi:nil="true"/>
    <RKOrdnaCheckInComment xmlns="14719275-4012-4a8c-9346-08822a9b8dcf" xsi:nil="true"/>
    <k46d94c0acf84ab9a79866a9d8b1905f xmlns="cc625d36-bb37-4650-91b9-0c96159295ba" xsi:nil="true"/>
    <_dlc_DocId xmlns="35670e95-d5a3-4c2b-9f0d-a339565e4e06">SNWENR3PSMA7-243763061-84010</_dlc_DocId>
    <_dlc_DocIdUrl xmlns="35670e95-d5a3-4c2b-9f0d-a339565e4e06">
      <Url>https://dhs.sp.regeringskansliet.se/yta/n-lb/fjr/_layouts/15/DocIdRedir.aspx?ID=SNWENR3PSMA7-243763061-84010</Url>
      <Description>SNWENR3PSMA7-243763061-84010</Description>
    </_dlc_DocIdUrl>
  </documentManagement>
</p:properties>
</file>

<file path=customXml/itemProps1.xml><?xml version="1.0" encoding="utf-8"?>
<ds:datastoreItem xmlns:ds="http://schemas.openxmlformats.org/officeDocument/2006/customXml" ds:itemID="{D4E5F4B7-8155-4C30-93AB-BE095F7A2F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670e95-d5a3-4c2b-9f0d-a339565e4e06"/>
    <ds:schemaRef ds:uri="14719275-4012-4a8c-9346-08822a9b8dcf"/>
    <ds:schemaRef ds:uri="cc625d36-bb37-4650-91b9-0c96159295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7C17AC-1C43-4114-A425-936CD15F95E8}">
  <ds:schemaRefs>
    <ds:schemaRef ds:uri="http://schemas.microsoft.com/sharepoint/events"/>
  </ds:schemaRefs>
</ds:datastoreItem>
</file>

<file path=customXml/itemProps3.xml><?xml version="1.0" encoding="utf-8"?>
<ds:datastoreItem xmlns:ds="http://schemas.openxmlformats.org/officeDocument/2006/customXml" ds:itemID="{BAC4838A-5DE4-425C-867C-0A8EF0480669}">
  <ds:schemaRefs>
    <ds:schemaRef ds:uri="http://schemas.openxmlformats.org/officeDocument/2006/bibliography"/>
  </ds:schemaRefs>
</ds:datastoreItem>
</file>

<file path=customXml/itemProps4.xml><?xml version="1.0" encoding="utf-8"?>
<ds:datastoreItem xmlns:ds="http://schemas.openxmlformats.org/officeDocument/2006/customXml" ds:itemID="{24E1D08C-32C4-442C-AF3C-5A69A29366AA}">
  <ds:schemaRefs>
    <ds:schemaRef ds:uri="http://schemas.microsoft.com/sharepoint/v3/contenttype/forms"/>
  </ds:schemaRefs>
</ds:datastoreItem>
</file>

<file path=customXml/itemProps5.xml><?xml version="1.0" encoding="utf-8"?>
<ds:datastoreItem xmlns:ds="http://schemas.openxmlformats.org/officeDocument/2006/customXml" ds:itemID="{2B456CFB-7BA3-4012-A22D-DD8B067C435D}">
  <ds:schemaRefs>
    <ds:schemaRef ds:uri="http://schemas.microsoft.com/office/2006/metadata/properties"/>
    <ds:schemaRef ds:uri="http://schemas.microsoft.com/office/infopath/2007/PartnerControls"/>
    <ds:schemaRef ds:uri="cc625d36-bb37-4650-91b9-0c96159295ba"/>
    <ds:schemaRef ds:uri="14719275-4012-4a8c-9346-08822a9b8dcf"/>
    <ds:schemaRef ds:uri="35670e95-d5a3-4c2b-9f0d-a339565e4e0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3419</Words>
  <Characters>20520</Characters>
  <Application>Microsoft Office Word</Application>
  <DocSecurity>0</DocSecurity>
  <Lines>171</Lines>
  <Paragraphs>47</Paragraphs>
  <ScaleCrop>false</ScaleCrop>
  <HeadingPairs>
    <vt:vector size="6" baseType="variant">
      <vt:variant>
        <vt:lpstr>Rubrik</vt:lpstr>
      </vt:variant>
      <vt:variant>
        <vt:i4>1</vt:i4>
      </vt:variant>
      <vt:variant>
        <vt:lpstr>Tytuł</vt:lpstr>
      </vt:variant>
      <vt:variant>
        <vt:i4>1</vt:i4>
      </vt:variant>
      <vt:variant>
        <vt:lpstr>Titel</vt:lpstr>
      </vt:variant>
      <vt:variant>
        <vt:i4>1</vt:i4>
      </vt:variant>
    </vt:vector>
  </HeadingPairs>
  <TitlesOfParts>
    <vt:vector size="3" baseType="lpstr">
      <vt:lpstr>Rubrik (hamnar per automatik i sidhuvudet)</vt:lpstr>
      <vt:lpstr>Rubrik (hamnar per automatik i sidhuvudet)</vt:lpstr>
      <vt:lpstr>Rubrik (hamnar per automatik i sidhuvudet)</vt:lpstr>
    </vt:vector>
  </TitlesOfParts>
  <Company/>
  <LinksUpToDate>false</LinksUpToDate>
  <CharactersWithSpaces>23892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Rubrik (hamnar per automatik i sidhuvudet)</dc:title>
  <dc:subject/>
  <dc:creator>Fredrik Palm</dc:creator>
  <cp:keywords/>
  <dc:description/>
  <cp:lastModifiedBy>Ewa Milewska</cp:lastModifiedBy>
  <cp:revision>2</cp:revision>
  <cp:lastPrinted>2024-06-12T12:46:00Z</cp:lastPrinted>
  <dcterms:created xsi:type="dcterms:W3CDTF">2026-05-07T06:39:00Z</dcterms:created>
  <dcterms:modified xsi:type="dcterms:W3CDTF">2026-05-07T06:39:00Z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0x010100393590CF7D055442B35DC4927644088B</vt:lpwstr>
  </property>
  <property fmtid="{D5CDD505-2E9C-101B-9397-08002B2CF9AE}" pid="3" name="Organisation">
    <vt:lpwstr/>
  </property>
  <property fmtid="{D5CDD505-2E9C-101B-9397-08002B2CF9AE}" pid="4" name="_dlc_DocIdItemGuid">
    <vt:lpwstr>f3060e1e-0148-4e4e-96e8-63edf2a7fa20</vt:lpwstr>
  </property>
</Properties>
</file>